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15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4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от </w:t>
      </w:r>
      <w:r>
        <w:rPr>
          <w:rFonts w:ascii="Times New Roman" w:hAnsi="Times New Roman"/>
          <w:b w:val="1"/>
          <w:sz w:val="28"/>
        </w:rPr>
        <w:t>11.06.2024</w:t>
      </w:r>
      <w:r>
        <w:rPr>
          <w:rFonts w:ascii="Times New Roman" w:hAnsi="Times New Roman"/>
          <w:b w:val="1"/>
          <w:sz w:val="28"/>
        </w:rPr>
        <w:t xml:space="preserve"> г. </w:t>
      </w:r>
      <w:r>
        <w:rPr>
          <w:rFonts w:ascii="Times New Roman" w:hAnsi="Times New Roman"/>
          <w:b w:val="1"/>
          <w:sz w:val="28"/>
        </w:rPr>
        <w:t xml:space="preserve">к решению Собрания депутатов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сельского поселения Азовского района «О внесении изменений и дополнений в решение Собрания депутатов «О бюджете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на 2024</w:t>
      </w:r>
      <w:r>
        <w:rPr>
          <w:rFonts w:ascii="Times New Roman" w:hAnsi="Times New Roman"/>
          <w:b w:val="1"/>
          <w:sz w:val="28"/>
        </w:rPr>
        <w:t xml:space="preserve"> год и на плановый период 2025</w:t>
      </w:r>
      <w:r>
        <w:rPr>
          <w:rFonts w:ascii="Times New Roman" w:hAnsi="Times New Roman"/>
          <w:b w:val="1"/>
          <w:sz w:val="28"/>
        </w:rPr>
        <w:t xml:space="preserve"> и 2026</w:t>
      </w:r>
      <w:r>
        <w:rPr>
          <w:rFonts w:ascii="Times New Roman" w:hAnsi="Times New Roman"/>
          <w:b w:val="1"/>
          <w:sz w:val="28"/>
        </w:rPr>
        <w:t xml:space="preserve"> годов» №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27 </w:t>
      </w:r>
      <w:r>
        <w:rPr>
          <w:rFonts w:ascii="Times New Roman" w:hAnsi="Times New Roman"/>
          <w:b w:val="1"/>
          <w:sz w:val="28"/>
        </w:rPr>
        <w:t>от 26</w:t>
      </w:r>
      <w:r>
        <w:rPr>
          <w:rFonts w:ascii="Times New Roman" w:hAnsi="Times New Roman"/>
          <w:b w:val="1"/>
          <w:sz w:val="28"/>
        </w:rPr>
        <w:t>.12.2023</w:t>
      </w:r>
      <w:r>
        <w:rPr>
          <w:rFonts w:ascii="Times New Roman" w:hAnsi="Times New Roman"/>
          <w:b w:val="1"/>
          <w:sz w:val="28"/>
        </w:rPr>
        <w:t xml:space="preserve"> г</w:t>
      </w:r>
    </w:p>
    <w:p w14:paraId="05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numPr>
          <w:ilvl w:val="0"/>
          <w:numId w:val="1"/>
        </w:num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Общая характеристика изменений</w:t>
      </w:r>
    </w:p>
    <w:p w14:paraId="07000000">
      <w:pPr>
        <w:spacing w:after="0" w:line="240" w:lineRule="auto"/>
        <w:ind w:firstLine="567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</w:t>
      </w:r>
      <w:r>
        <w:rPr>
          <w:rFonts w:ascii="Times New Roman" w:hAnsi="Times New Roman"/>
          <w:sz w:val="28"/>
        </w:rPr>
        <w:t>предусмотрено изменение основных характеристик бюджета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год, а именно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расходн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часть </w:t>
      </w:r>
      <w:r>
        <w:rPr>
          <w:rFonts w:ascii="Times New Roman" w:hAnsi="Times New Roman"/>
          <w:sz w:val="28"/>
        </w:rPr>
        <w:t xml:space="preserve">увеличилась </w:t>
      </w:r>
      <w:r>
        <w:rPr>
          <w:rFonts w:ascii="Times New Roman" w:hAnsi="Times New Roman"/>
          <w:sz w:val="28"/>
        </w:rPr>
        <w:t>на 1633,0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  <w:r>
        <w:rPr>
          <w:rFonts w:ascii="Times New Roman" w:hAnsi="Times New Roman"/>
          <w:sz w:val="28"/>
        </w:rPr>
        <w:t xml:space="preserve"> за счет вовлечения нецелевых остатков сложившихся по состоянию на 01.01.20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>г  .</w:t>
      </w:r>
      <w:r>
        <w:rPr>
          <w:rFonts w:ascii="Times New Roman" w:hAnsi="Times New Roman"/>
          <w:sz w:val="28"/>
        </w:rPr>
        <w:t xml:space="preserve"> С учетом предлагаемых изменений дефицит бюджета состави</w:t>
      </w:r>
      <w:r>
        <w:rPr>
          <w:rFonts w:ascii="Times New Roman" w:hAnsi="Times New Roman"/>
          <w:sz w:val="28"/>
        </w:rPr>
        <w:t xml:space="preserve">т  1632,2 </w:t>
      </w:r>
      <w:r>
        <w:rPr>
          <w:rFonts w:ascii="Times New Roman" w:hAnsi="Times New Roman"/>
          <w:sz w:val="28"/>
        </w:rPr>
        <w:t>тыс.руб.</w:t>
      </w:r>
    </w:p>
    <w:p w14:paraId="08000000">
      <w:pPr>
        <w:spacing w:after="0" w:line="240" w:lineRule="auto"/>
        <w:ind w:firstLine="709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Динамика изменения основных характеристик бюджета района приведены в таблице.</w:t>
      </w:r>
    </w:p>
    <w:p w14:paraId="09000000">
      <w:pPr>
        <w:spacing w:after="0" w:line="240" w:lineRule="auto"/>
        <w:ind w:firstLine="709" w:left="0"/>
        <w:jc w:val="right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тыс. руб.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466"/>
        <w:gridCol w:w="3195"/>
        <w:gridCol w:w="2680"/>
        <w:gridCol w:w="2041"/>
      </w:tblGrid>
      <w:tr>
        <w:trPr>
          <w:trHeight w:hRule="atLeast" w:val="1291"/>
        </w:trPr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о бюджете №27</w:t>
            </w:r>
            <w:r>
              <w:rPr>
                <w:rFonts w:ascii="Times New Roman" w:hAnsi="Times New Roman"/>
                <w:sz w:val="28"/>
              </w:rPr>
              <w:t xml:space="preserve"> от 26</w:t>
            </w:r>
            <w:r>
              <w:rPr>
                <w:rFonts w:ascii="Times New Roman" w:hAnsi="Times New Roman"/>
                <w:sz w:val="28"/>
              </w:rPr>
              <w:t>.12.2023</w:t>
            </w:r>
            <w:r>
              <w:rPr>
                <w:rFonts w:ascii="Times New Roman" w:hAnsi="Times New Roman"/>
                <w:sz w:val="28"/>
              </w:rPr>
              <w:t>г.</w:t>
            </w:r>
          </w:p>
        </w:tc>
        <w:tc>
          <w:tcPr>
            <w:tcW w:type="dxa" w:w="2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 решени</w:t>
            </w:r>
            <w:r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о </w:t>
            </w:r>
            <w:r>
              <w:rPr>
                <w:rFonts w:ascii="Times New Roman" w:hAnsi="Times New Roman"/>
                <w:sz w:val="28"/>
              </w:rPr>
              <w:t xml:space="preserve">внесении изменений в </w:t>
            </w:r>
            <w:r>
              <w:rPr>
                <w:rFonts w:ascii="Times New Roman" w:hAnsi="Times New Roman"/>
                <w:sz w:val="28"/>
              </w:rPr>
              <w:t xml:space="preserve">бюджет от </w:t>
            </w:r>
            <w:r>
              <w:rPr>
                <w:rFonts w:ascii="Times New Roman" w:hAnsi="Times New Roman"/>
                <w:sz w:val="28"/>
              </w:rPr>
              <w:t>__.06</w:t>
            </w:r>
            <w:r>
              <w:rPr>
                <w:rFonts w:ascii="Times New Roman" w:hAnsi="Times New Roman"/>
                <w:sz w:val="28"/>
              </w:rPr>
              <w:t>.2024</w:t>
            </w:r>
          </w:p>
        </w:tc>
        <w:tc>
          <w:tcPr>
            <w:tcW w:type="dxa" w:w="2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Изменения</w:t>
            </w:r>
          </w:p>
        </w:tc>
      </w:tr>
      <w:tr>
        <w:trPr>
          <w:trHeight w:hRule="atLeast" w:val="308"/>
        </w:trPr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Доходы</w:t>
            </w:r>
          </w:p>
        </w:tc>
        <w:tc>
          <w:tcPr>
            <w:tcW w:type="dxa" w:w="3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16656,5</w:t>
            </w:r>
          </w:p>
        </w:tc>
        <w:tc>
          <w:tcPr>
            <w:tcW w:type="dxa" w:w="2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16657,3</w:t>
            </w:r>
          </w:p>
        </w:tc>
        <w:tc>
          <w:tcPr>
            <w:tcW w:type="dxa" w:w="2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0,8</w:t>
            </w:r>
          </w:p>
        </w:tc>
      </w:tr>
      <w:tr>
        <w:trPr>
          <w:trHeight w:hRule="atLeast" w:val="430"/>
        </w:trPr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</w:t>
            </w:r>
          </w:p>
        </w:tc>
        <w:tc>
          <w:tcPr>
            <w:tcW w:type="dxa" w:w="3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16656,5</w:t>
            </w:r>
          </w:p>
        </w:tc>
        <w:tc>
          <w:tcPr>
            <w:tcW w:type="dxa" w:w="2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18289,5</w:t>
            </w:r>
          </w:p>
        </w:tc>
        <w:tc>
          <w:tcPr>
            <w:tcW w:type="dxa" w:w="2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1633,0</w:t>
            </w:r>
          </w:p>
        </w:tc>
      </w:tr>
      <w:tr>
        <w:tc>
          <w:tcPr>
            <w:tcW w:type="dxa" w:w="2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Дефицит</w:t>
            </w:r>
          </w:p>
        </w:tc>
        <w:tc>
          <w:tcPr>
            <w:tcW w:type="dxa" w:w="3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1632,2</w:t>
            </w:r>
          </w:p>
        </w:tc>
        <w:tc>
          <w:tcPr>
            <w:tcW w:type="dxa" w:w="20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1632,2</w:t>
            </w:r>
          </w:p>
        </w:tc>
      </w:tr>
    </w:tbl>
    <w:p w14:paraId="1A000000">
      <w:pPr>
        <w:spacing w:after="0" w:line="240" w:lineRule="auto"/>
        <w:ind/>
        <w:jc w:val="both"/>
        <w:outlineLvl w:val="3"/>
        <w:rPr>
          <w:rFonts w:ascii="Times New Roman" w:hAnsi="Times New Roman"/>
          <w:sz w:val="28"/>
        </w:rPr>
      </w:pPr>
    </w:p>
    <w:p w14:paraId="1B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доходной части бюджета</w:t>
      </w:r>
    </w:p>
    <w:p w14:paraId="1C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0"/>
          <w:sz w:val="28"/>
        </w:rPr>
        <w:t>Изменение доходной части бюджета  предусмотрено на 0,8 тыс.руб. за счет возврата  межбюджетных трансфертов  на осуществление полномочий организации  ритуальных услуг на 01.01.2024</w:t>
      </w:r>
    </w:p>
    <w:p w14:paraId="1D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</w:t>
      </w:r>
    </w:p>
    <w:p w14:paraId="1E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расходной части бюджета</w:t>
      </w:r>
    </w:p>
    <w:p w14:paraId="1F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</w:t>
      </w:r>
    </w:p>
    <w:p w14:paraId="20000000">
      <w:pPr>
        <w:spacing w:after="0" w:line="240" w:lineRule="auto"/>
        <w:ind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В связи с прекращение  расходов  на выплату пенсии, сотруднику  замещавшему муниципальную должность муниципальной службы                      ( Свидетельство о смерти V-AH №766253 от 22.02.2024 года)</w:t>
      </w:r>
      <w:r>
        <w:rPr>
          <w:rFonts w:ascii="Times New Roman" w:hAnsi="Times New Roman"/>
          <w:b w:val="1"/>
          <w:sz w:val="28"/>
        </w:rPr>
        <w:t>,</w:t>
      </w:r>
      <w:r>
        <w:rPr>
          <w:rFonts w:ascii="Times New Roman" w:hAnsi="Times New Roman"/>
          <w:b w:val="0"/>
          <w:sz w:val="28"/>
        </w:rPr>
        <w:t>лимиты в размере 77,00 тыс перераспределить по следующим статьям расходов:</w:t>
      </w:r>
    </w:p>
    <w:p w14:paraId="21000000">
      <w:pPr>
        <w:spacing w:after="0" w:line="240" w:lineRule="auto"/>
        <w:ind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+ 10,00 тыс.руб.– оплата штрафов за нарушение законодательства персонифицированного учета;</w:t>
      </w:r>
    </w:p>
    <w:p w14:paraId="22000000">
      <w:pPr>
        <w:spacing w:after="0" w:line="240" w:lineRule="auto"/>
        <w:ind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+ 28,00 тыс. руб -  оплата договора технического, аварийного обслуживания и ремонт газового хозяйства ( газовые сети х. Коса ст. Елизаветинская);</w:t>
      </w:r>
    </w:p>
    <w:p w14:paraId="23000000">
      <w:pPr>
        <w:spacing w:after="0" w:line="240" w:lineRule="auto"/>
        <w:ind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+22,2 тыс.руб – увеличение лимитов по переданным полномочиям (КСП)</w:t>
      </w:r>
    </w:p>
    <w:p w14:paraId="24000000">
      <w:pPr>
        <w:spacing w:after="0" w:line="240" w:lineRule="auto"/>
        <w:ind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+ 17,6 тыс. руб. – ремонт моста в х. Дугино.</w:t>
      </w:r>
    </w:p>
    <w:p w14:paraId="25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b w:val="0"/>
          <w:color w:val="22272F"/>
          <w:sz w:val="28"/>
          <w:highlight w:val="white"/>
        </w:rPr>
        <w:t xml:space="preserve">По состоянию на 01.06.2024 года у администрации Елизаветинского сельского поселения имеется 3 протокола  о </w:t>
      </w:r>
      <w:r>
        <w:rPr>
          <w:rFonts w:ascii="Times New Roman" w:hAnsi="Times New Roman"/>
          <w:b w:val="0"/>
          <w:sz w:val="28"/>
        </w:rPr>
        <w:t xml:space="preserve">нарушение законодательства персонифицированного учета, на сумму 3,5 (7 нарушений) тыс. руб, </w:t>
      </w:r>
      <w:r>
        <w:rPr>
          <w:rFonts w:ascii="Times New Roman" w:hAnsi="Times New Roman"/>
          <w:b w:val="0"/>
          <w:color w:val="22272F"/>
          <w:sz w:val="28"/>
          <w:highlight w:val="white"/>
        </w:rPr>
        <w:t>однако в ходе проведения анализа, установлено, что в период с 06.09.2023 по 01.04.2024 было допущено 17 нарушений , на общую сумму 10,00 тыс руб.</w:t>
      </w:r>
    </w:p>
    <w:p w14:paraId="2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Общ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сумм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расходов бюджета на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 увелич</w:t>
      </w:r>
      <w:r>
        <w:rPr>
          <w:rFonts w:ascii="Times New Roman" w:hAnsi="Times New Roman"/>
          <w:sz w:val="28"/>
        </w:rPr>
        <w:t>ена</w:t>
      </w:r>
      <w:r>
        <w:rPr>
          <w:rFonts w:ascii="Times New Roman" w:hAnsi="Times New Roman"/>
          <w:sz w:val="28"/>
        </w:rPr>
        <w:t xml:space="preserve"> на 1633,0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тыс. руб</w:t>
      </w:r>
      <w:r>
        <w:rPr>
          <w:rFonts w:ascii="Times New Roman" w:hAnsi="Times New Roman"/>
          <w:sz w:val="28"/>
        </w:rPr>
        <w:t>лей</w:t>
      </w:r>
    </w:p>
    <w:p w14:paraId="27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t xml:space="preserve">      + 1299,0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22272F"/>
          <w:sz w:val="28"/>
          <w:highlight w:val="white"/>
        </w:rPr>
        <w:t xml:space="preserve"> тыс.руб – приобретение автомобиля Лада Гранта </w:t>
      </w:r>
    </w:p>
    <w:p w14:paraId="28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</w:t>
      </w:r>
      <w:r>
        <w:rPr>
          <w:rFonts w:ascii="Times New Roman" w:hAnsi="Times New Roman"/>
          <w:color w:val="22272F"/>
          <w:sz w:val="28"/>
          <w:highlight w:val="white"/>
        </w:rPr>
        <w:t xml:space="preserve">    + 333,2  тыс.руб – </w:t>
      </w:r>
      <w:r>
        <w:rPr>
          <w:rFonts w:ascii="Times New Roman" w:hAnsi="Times New Roman"/>
          <w:b w:val="0"/>
          <w:sz w:val="28"/>
        </w:rPr>
        <w:t>ремонт моста в х. Дугино.</w:t>
      </w:r>
    </w:p>
    <w:p w14:paraId="29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</w:p>
    <w:p w14:paraId="2A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>При планировании лимитов по приобретению автомобиля, была выбрана максимальная цена коммерческого предложения, т.к. в связи с экономической обстановкой, рост цен на автомобили происходит каждый месяц.</w:t>
      </w:r>
    </w:p>
    <w:p w14:paraId="2B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</w:p>
    <w:p w14:paraId="2C000000">
      <w:pPr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Источники финансирования дефицита бюджета</w:t>
      </w:r>
    </w:p>
    <w:p w14:paraId="2D000000">
      <w:pPr>
        <w:spacing w:after="0" w:line="240" w:lineRule="auto"/>
        <w:ind w:firstLine="0" w:left="900"/>
        <w:rPr>
          <w:rFonts w:ascii="Times New Roman" w:hAnsi="Times New Roman"/>
          <w:b w:val="1"/>
          <w:sz w:val="28"/>
        </w:rPr>
      </w:pPr>
    </w:p>
    <w:p w14:paraId="2E000000">
      <w:pPr>
        <w:spacing w:after="0" w:line="240" w:lineRule="auto"/>
        <w:ind w:firstLine="0"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Остатки собственных средств на 01.01.2024 года составили  8850160,96  рублей.</w:t>
      </w:r>
    </w:p>
    <w:p w14:paraId="2F000000">
      <w:pPr>
        <w:spacing w:after="0" w:line="240" w:lineRule="auto"/>
        <w:ind w:firstLine="0"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Проектом решения предусмотрено увеличения планируемого дефицита  бюджета Елизаветинского сельского поселения Азовского района  на 1632,2  тыс.рублей.  Источники финансирования дефицита бюджета -  остатки собственных средств на 01.01.2024 года</w:t>
      </w:r>
    </w:p>
    <w:p w14:paraId="30000000">
      <w:pPr>
        <w:spacing w:after="0" w:line="240" w:lineRule="auto"/>
        <w:ind w:firstLine="0"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параметры  бюджета Елизаветинского сельского поселения  на период 2025-2026 гг не изменились .</w:t>
      </w:r>
    </w:p>
    <w:p w14:paraId="31000000">
      <w:pPr>
        <w:spacing w:after="0" w:line="240" w:lineRule="auto"/>
        <w:ind w:firstLine="0" w:left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 параметров бюджета  Елизаветинского сельского поселения на 2024 год отражены в приложения 1-7 к настоящему решению.</w:t>
      </w:r>
    </w:p>
    <w:p w14:paraId="32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3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сектор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</w:p>
    <w:p w14:paraId="3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экономики и финансов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А.В. Молявка</w:t>
      </w:r>
    </w:p>
    <w:p w14:paraId="36000000">
      <w:pPr>
        <w:rPr>
          <w:rFonts w:ascii="Times New Roman" w:hAnsi="Times New Roman"/>
          <w:sz w:val="28"/>
        </w:rPr>
      </w:pPr>
    </w:p>
    <w:p w14:paraId="3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Тел.(86342)38761</w:t>
      </w: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5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00"/>
      </w:p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pPr>
      <w:spacing w:after="0" w:line="240" w:lineRule="auto"/>
      <w:ind/>
    </w:pPr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s_1"/>
    <w:basedOn w:val="Style_2"/>
    <w:link w:val="Style_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_ch" w:type="character">
    <w:name w:val="s_1"/>
    <w:basedOn w:val="Style_2_ch"/>
    <w:link w:val="Style_13"/>
    <w:rPr>
      <w:rFonts w:ascii="Times New Roman" w:hAnsi="Times New Roman"/>
      <w:sz w:val="24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Emphasis"/>
    <w:link w:val="Style_18_ch"/>
    <w:rPr>
      <w:i w:val="1"/>
    </w:rPr>
  </w:style>
  <w:style w:styleId="Style_18_ch" w:type="character">
    <w:name w:val="Emphasis"/>
    <w:link w:val="Style_18"/>
    <w:rPr>
      <w:i w:val="1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2024-06-19T10:40:40Z</dcterms:modified>
</cp:coreProperties>
</file>