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spacing w:line="228" w:lineRule="auto"/>
        <w:ind w:firstLine="54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МУНИЦИПАЛЬНОЕ ОБРАЗОВАНИЕ</w:t>
      </w:r>
    </w:p>
    <w:p w14:paraId="03000000">
      <w:pPr>
        <w:pStyle w:val="Style_2"/>
        <w:widowControl w:val="1"/>
        <w:spacing w:line="228" w:lineRule="auto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ЕЛИЗАВЕТИНСКОЕ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8"/>
        </w:rPr>
        <w:t>СЕЛЬСКО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ПОСЕЛЕНИ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»</w:t>
      </w:r>
    </w:p>
    <w:p w14:paraId="04000000">
      <w:pPr>
        <w:tabs>
          <w:tab w:leader="none" w:pos="7237" w:val="left"/>
        </w:tabs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</w:p>
    <w:p w14:paraId="05000000">
      <w:pPr>
        <w:tabs>
          <w:tab w:leader="none" w:pos="7237" w:val="left"/>
        </w:tabs>
        <w:spacing w:after="0" w:before="120"/>
        <w:ind/>
        <w:jc w:val="both"/>
        <w:rPr>
          <w:rFonts w:ascii="Times New Roman" w:hAnsi="Times New Roman"/>
          <w:sz w:val="28"/>
        </w:rPr>
      </w:pPr>
    </w:p>
    <w:p w14:paraId="06000000">
      <w:pPr>
        <w:tabs>
          <w:tab w:leader="none" w:pos="7237" w:val="left"/>
        </w:tabs>
        <w:spacing w:after="0" w:before="12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7000000">
      <w:pPr>
        <w:widowControl w:val="0"/>
        <w:tabs>
          <w:tab w:leader="none" w:pos="6005" w:val="left"/>
          <w:tab w:leader="underscore" w:pos="8117" w:val="left"/>
        </w:tabs>
        <w:spacing w:after="0" w:line="240" w:lineRule="auto"/>
        <w:ind w:firstLine="0" w:left="5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 налоге на имущество физических лиц»</w:t>
      </w:r>
    </w:p>
    <w:p w14:paraId="08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  <w:highlight w:val="yellow"/>
        </w:rPr>
      </w:pPr>
    </w:p>
    <w:p w14:paraId="09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right="0"/>
        <w:jc w:val="left"/>
        <w:rPr>
          <w:rFonts w:ascii="Times New Roman" w:hAnsi="Times New Roman"/>
          <w:b w:val="1"/>
          <w:sz w:val="28"/>
          <w:highlight w:val="yellow"/>
        </w:rPr>
      </w:pPr>
      <w:r>
        <w:rPr>
          <w:rFonts w:ascii="Times New Roman" w:hAnsi="Times New Roman"/>
          <w:b w:val="1"/>
          <w:color w:val="000000"/>
          <w:spacing w:val="-2"/>
          <w:sz w:val="28"/>
        </w:rPr>
        <w:t>«21</w:t>
      </w:r>
      <w:r>
        <w:rPr>
          <w:rFonts w:ascii="Times New Roman" w:hAnsi="Times New Roman"/>
          <w:b w:val="1"/>
          <w:color w:val="000000"/>
          <w:spacing w:val="-2"/>
          <w:sz w:val="28"/>
        </w:rPr>
        <w:t>» ноября 202</w:t>
      </w:r>
      <w:r>
        <w:rPr>
          <w:rFonts w:ascii="Times New Roman" w:hAnsi="Times New Roman"/>
          <w:b w:val="1"/>
          <w:color w:val="000000"/>
          <w:spacing w:val="-2"/>
          <w:sz w:val="28"/>
        </w:rPr>
        <w:t>4</w:t>
      </w:r>
      <w:r>
        <w:rPr>
          <w:rFonts w:ascii="Times New Roman" w:hAnsi="Times New Roman"/>
          <w:b w:val="1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года</w:t>
      </w:r>
      <w:r>
        <w:rPr>
          <w:rFonts w:ascii="Times New Roman" w:hAnsi="Times New Roman"/>
          <w:b w:val="1"/>
          <w:color w:val="000000"/>
          <w:spacing w:val="-2"/>
          <w:sz w:val="28"/>
        </w:rPr>
        <w:t xml:space="preserve">                             </w:t>
      </w: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21                               х. Обуховка</w:t>
      </w:r>
    </w:p>
    <w:p w14:paraId="0A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right="0"/>
        <w:rPr>
          <w:rFonts w:ascii="Times New Roman" w:hAnsi="Times New Roman"/>
          <w:b w:val="1"/>
          <w:sz w:val="28"/>
          <w:highlight w:val="yellow"/>
        </w:rPr>
      </w:pPr>
    </w:p>
    <w:p w14:paraId="0B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right="0"/>
        <w:rPr>
          <w:rFonts w:ascii="Times New Roman" w:hAnsi="Times New Roman"/>
          <w:b w:val="1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      В соответствии с главой 32 Налогового кодекса Российской Федерации, 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</w:p>
    <w:p w14:paraId="0C000000">
      <w:pPr>
        <w:widowControl w:val="0"/>
        <w:tabs>
          <w:tab w:leader="none" w:pos="567" w:val="left"/>
          <w:tab w:leader="none" w:pos="993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highlight w:val="green"/>
        </w:rPr>
      </w:pPr>
    </w:p>
    <w:p w14:paraId="0D000000">
      <w:pPr>
        <w:widowControl w:val="0"/>
        <w:tabs>
          <w:tab w:leader="none" w:pos="567" w:val="left"/>
          <w:tab w:leader="none" w:pos="993" w:val="left"/>
          <w:tab w:leader="none" w:pos="1134" w:val="left"/>
        </w:tabs>
        <w:spacing w:after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ЕШИЛО</w:t>
      </w:r>
      <w:r>
        <w:rPr>
          <w:rFonts w:ascii="Times New Roman" w:hAnsi="Times New Roman"/>
          <w:sz w:val="28"/>
        </w:rPr>
        <w:t>:</w:t>
      </w:r>
    </w:p>
    <w:p w14:paraId="0E000000">
      <w:pPr>
        <w:widowControl w:val="0"/>
        <w:tabs>
          <w:tab w:leader="none" w:pos="567" w:val="left"/>
          <w:tab w:leader="none" w:pos="993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</w:p>
    <w:p w14:paraId="0F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firstLine="0" w:left="36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1.</w:t>
      </w:r>
      <w:r>
        <w:rPr>
          <w:rFonts w:ascii="Times New Roman" w:hAnsi="Times New Roman"/>
          <w:color w:val="000000"/>
          <w:spacing w:val="-6"/>
          <w:sz w:val="28"/>
        </w:rPr>
        <w:t xml:space="preserve">  </w:t>
      </w:r>
      <w:r>
        <w:rPr>
          <w:rFonts w:ascii="Times New Roman" w:hAnsi="Times New Roman"/>
          <w:color w:val="000000"/>
          <w:spacing w:val="-6"/>
          <w:sz w:val="28"/>
        </w:rPr>
        <w:t>Ввести на территории муниципального образования «</w:t>
      </w:r>
      <w:r>
        <w:rPr>
          <w:rFonts w:ascii="Times New Roman" w:hAnsi="Times New Roman"/>
          <w:color w:val="000000"/>
          <w:spacing w:val="-6"/>
          <w:sz w:val="28"/>
        </w:rPr>
        <w:t xml:space="preserve">Елизаветинское </w:t>
      </w:r>
      <w:r>
        <w:rPr>
          <w:rFonts w:ascii="Times New Roman" w:hAnsi="Times New Roman"/>
          <w:color w:val="000000"/>
          <w:spacing w:val="-6"/>
          <w:sz w:val="28"/>
        </w:rPr>
        <w:t xml:space="preserve">сельское поселение» налог на имущество физических лиц. </w:t>
      </w:r>
    </w:p>
    <w:p w14:paraId="10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firstLine="0" w:left="36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2.</w:t>
      </w:r>
      <w:r>
        <w:rPr>
          <w:rFonts w:ascii="Times New Roman" w:hAnsi="Times New Roman"/>
          <w:color w:val="000000"/>
          <w:spacing w:val="-6"/>
          <w:sz w:val="28"/>
        </w:rPr>
        <w:t xml:space="preserve">  </w:t>
      </w:r>
      <w:r>
        <w:rPr>
          <w:rFonts w:ascii="Times New Roman" w:hAnsi="Times New Roman"/>
          <w:color w:val="000000"/>
          <w:spacing w:val="-6"/>
          <w:sz w:val="28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14:paraId="11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firstLine="0" w:left="36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1) </w:t>
      </w:r>
      <w:r>
        <w:rPr>
          <w:rFonts w:ascii="Times New Roman" w:hAnsi="Times New Roman"/>
          <w:color w:val="000000"/>
          <w:spacing w:val="-6"/>
          <w:sz w:val="28"/>
        </w:rPr>
        <w:t>0,1 процента в отношении:</w:t>
      </w:r>
    </w:p>
    <w:p w14:paraId="12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firstLine="0" w:left="36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  </w:t>
      </w:r>
      <w:r>
        <w:rPr>
          <w:rFonts w:ascii="Times New Roman" w:hAnsi="Times New Roman"/>
          <w:color w:val="000000"/>
          <w:spacing w:val="-6"/>
          <w:sz w:val="28"/>
        </w:rPr>
        <w:t>ж</w:t>
      </w:r>
      <w:r>
        <w:rPr>
          <w:rFonts w:ascii="Times New Roman" w:hAnsi="Times New Roman"/>
          <w:color w:val="000000"/>
          <w:spacing w:val="-6"/>
          <w:sz w:val="28"/>
        </w:rPr>
        <w:t>илых домов, частей жилых домов, квартир, частей квартир, комнат, кадастровая стоимость которых, определенная по результатам государственной кадастровой оценки объектов недвижимости, составляет до 1 000 000 рублей</w:t>
      </w:r>
      <w:r>
        <w:rPr>
          <w:rFonts w:ascii="Times New Roman" w:hAnsi="Times New Roman"/>
          <w:color w:val="000000"/>
          <w:spacing w:val="-6"/>
          <w:sz w:val="28"/>
        </w:rPr>
        <w:t xml:space="preserve"> включительно;</w:t>
      </w:r>
    </w:p>
    <w:p w14:paraId="13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firstLine="0" w:left="36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  </w:t>
      </w:r>
      <w:r>
        <w:rPr>
          <w:rFonts w:ascii="Times New Roman" w:hAnsi="Times New Roman"/>
          <w:color w:val="000000"/>
          <w:spacing w:val="-6"/>
          <w:sz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14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firstLine="0" w:left="36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2) </w:t>
      </w:r>
      <w:r>
        <w:rPr>
          <w:rFonts w:ascii="Times New Roman" w:hAnsi="Times New Roman"/>
          <w:color w:val="000000"/>
          <w:spacing w:val="-6"/>
          <w:sz w:val="28"/>
        </w:rPr>
        <w:t>0,2 процента в отношении:</w:t>
      </w:r>
    </w:p>
    <w:p w14:paraId="15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firstLine="0" w:left="36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жилых  домов, частей  жилых домов, квартир, частей квартир, комнат, кадастровая стоимость которых, определенная по результатам государственной</w:t>
      </w:r>
      <w:r>
        <w:rPr>
          <w:rFonts w:ascii="Times New Roman" w:hAnsi="Times New Roman"/>
          <w:color w:val="000000"/>
          <w:spacing w:val="-6"/>
          <w:sz w:val="28"/>
        </w:rPr>
        <w:t xml:space="preserve"> кадастровой</w:t>
      </w:r>
      <w:r>
        <w:rPr>
          <w:rFonts w:ascii="Times New Roman" w:hAnsi="Times New Roman"/>
          <w:color w:val="000000"/>
          <w:spacing w:val="-6"/>
          <w:sz w:val="28"/>
        </w:rPr>
        <w:t xml:space="preserve"> оценки объектов недвижимости,  составляет свыше 1 000 000 до 2 000 000 рублей включительно;</w:t>
      </w:r>
    </w:p>
    <w:p w14:paraId="16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firstLine="0" w:left="36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единых недвижимых комплексов, в состав которых входит хотя бы один жилой дом;</w:t>
      </w:r>
    </w:p>
    <w:p w14:paraId="17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firstLine="0" w:left="360"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3) </w:t>
      </w:r>
      <w:r>
        <w:rPr>
          <w:rFonts w:ascii="Times New Roman" w:hAnsi="Times New Roman"/>
          <w:color w:val="000000"/>
          <w:spacing w:val="-6"/>
          <w:sz w:val="28"/>
        </w:rPr>
        <w:t xml:space="preserve"> 0,3 процента в отношении:</w:t>
      </w:r>
    </w:p>
    <w:p w14:paraId="18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   </w:t>
      </w:r>
      <w:r>
        <w:rPr>
          <w:rFonts w:ascii="Times New Roman" w:hAnsi="Times New Roman"/>
          <w:color w:val="000000"/>
          <w:spacing w:val="-6"/>
          <w:sz w:val="28"/>
        </w:rPr>
        <w:t>жилых домов, частей жилых домов, квартир, частей квартир, комнат, кадастровая стоимость которых, определенная по результатам государственной кадастровой оценки объектов недвижимости, составляет свыше 2 000 000 рублей;</w:t>
      </w:r>
    </w:p>
    <w:p w14:paraId="19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1A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гаражей и машинно-мест, в том числе расположенных в объектах налогооблажения, указанных в подпункте 4 настоящего пункта</w:t>
      </w:r>
      <w:r>
        <w:rPr>
          <w:rFonts w:ascii="Times New Roman" w:hAnsi="Times New Roman"/>
          <w:color w:val="000000"/>
          <w:spacing w:val="-6"/>
          <w:sz w:val="28"/>
        </w:rPr>
        <w:t>.</w:t>
      </w:r>
    </w:p>
    <w:p w14:paraId="1B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4) </w:t>
      </w:r>
      <w:r>
        <w:rPr>
          <w:rFonts w:ascii="Times New Roman" w:hAnsi="Times New Roman"/>
          <w:color w:val="000000"/>
          <w:spacing w:val="-6"/>
          <w:sz w:val="28"/>
        </w:rPr>
        <w:t>2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процент</w:t>
      </w:r>
      <w:r>
        <w:rPr>
          <w:rFonts w:ascii="Times New Roman" w:hAnsi="Times New Roman"/>
          <w:color w:val="000000"/>
          <w:spacing w:val="-6"/>
          <w:sz w:val="28"/>
        </w:rPr>
        <w:t>а</w:t>
      </w:r>
      <w:r>
        <w:rPr>
          <w:rFonts w:ascii="Times New Roman" w:hAnsi="Times New Roman"/>
          <w:color w:val="000000"/>
          <w:spacing w:val="-6"/>
          <w:sz w:val="28"/>
        </w:rPr>
        <w:t xml:space="preserve"> в отношении</w:t>
      </w:r>
      <w:r>
        <w:rPr>
          <w:rFonts w:ascii="Times New Roman" w:hAnsi="Times New Roman"/>
          <w:color w:val="000000"/>
          <w:spacing w:val="-6"/>
          <w:sz w:val="28"/>
        </w:rPr>
        <w:t xml:space="preserve"> объектов налогообложения, включенных в перечень,</w:t>
      </w:r>
      <w:r>
        <w:rPr>
          <w:rFonts w:ascii="Times New Roman" w:hAnsi="Times New Roman"/>
          <w:color w:val="000000"/>
          <w:spacing w:val="-6"/>
          <w:sz w:val="28"/>
        </w:rPr>
        <w:t xml:space="preserve"> определяемый в соответствии с пунктом 7 статьи 378.2 </w:t>
      </w:r>
      <w:r>
        <w:rPr>
          <w:rFonts w:ascii="Times New Roman" w:hAnsi="Times New Roman"/>
          <w:color w:val="000000"/>
          <w:spacing w:val="-6"/>
          <w:sz w:val="28"/>
        </w:rPr>
        <w:t>Налогового кодекса Российской Федерации</w:t>
      </w:r>
      <w:r>
        <w:rPr>
          <w:rFonts w:ascii="Times New Roman" w:hAnsi="Times New Roman"/>
          <w:color w:val="000000"/>
          <w:spacing w:val="-6"/>
          <w:sz w:val="28"/>
        </w:rPr>
        <w:t xml:space="preserve">, в отношении объектов налогообложения, предусмотренных абзацем вторым пункта 10 статьи 378.2 </w:t>
      </w:r>
      <w:r>
        <w:rPr>
          <w:rFonts w:ascii="Times New Roman" w:hAnsi="Times New Roman"/>
          <w:color w:val="000000"/>
          <w:spacing w:val="-6"/>
          <w:sz w:val="28"/>
        </w:rPr>
        <w:t>Налогового кодекса Российской Федерации</w:t>
      </w:r>
      <w:r>
        <w:rPr>
          <w:rFonts w:ascii="Times New Roman" w:hAnsi="Times New Roman"/>
          <w:color w:val="000000"/>
          <w:spacing w:val="-6"/>
          <w:sz w:val="28"/>
        </w:rPr>
        <w:t>;</w:t>
      </w:r>
    </w:p>
    <w:p w14:paraId="1C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4</w:t>
      </w:r>
      <w:r>
        <w:rPr>
          <w:rFonts w:ascii="Times New Roman" w:hAnsi="Times New Roman"/>
          <w:color w:val="000000"/>
          <w:spacing w:val="-6"/>
          <w:sz w:val="28"/>
        </w:rPr>
        <w:t>.1</w:t>
      </w:r>
      <w:r>
        <w:rPr>
          <w:rFonts w:ascii="Times New Roman" w:hAnsi="Times New Roman"/>
          <w:color w:val="000000"/>
          <w:spacing w:val="-6"/>
          <w:sz w:val="28"/>
        </w:rPr>
        <w:t>)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2,5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 процента в отношении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 объектов налогообложения, кадастровая стоимость каждого из которых превышает 300 миллионов рублей;</w:t>
      </w:r>
    </w:p>
    <w:p w14:paraId="1D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5) </w:t>
      </w:r>
      <w:r>
        <w:rPr>
          <w:rFonts w:ascii="Times New Roman" w:hAnsi="Times New Roman"/>
          <w:color w:val="000000"/>
          <w:spacing w:val="-6"/>
          <w:sz w:val="28"/>
        </w:rPr>
        <w:t>0,5 процента в отношении прочих объектов налогообложения.</w:t>
      </w:r>
    </w:p>
    <w:p w14:paraId="1E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3.</w:t>
      </w:r>
      <w:r>
        <w:rPr>
          <w:rFonts w:ascii="Times New Roman" w:hAnsi="Times New Roman"/>
          <w:color w:val="000000"/>
          <w:spacing w:val="-6"/>
          <w:sz w:val="28"/>
        </w:rPr>
        <w:t xml:space="preserve"> Дополни</w:t>
      </w:r>
      <w:r>
        <w:rPr>
          <w:rFonts w:ascii="Times New Roman" w:hAnsi="Times New Roman"/>
          <w:color w:val="000000"/>
          <w:spacing w:val="-6"/>
          <w:sz w:val="28"/>
        </w:rPr>
        <w:t>тельно от уплаты налога</w:t>
      </w:r>
      <w:r>
        <w:rPr>
          <w:rFonts w:ascii="Times New Roman" w:hAnsi="Times New Roman"/>
          <w:color w:val="000000"/>
          <w:spacing w:val="-6"/>
          <w:sz w:val="28"/>
        </w:rPr>
        <w:t xml:space="preserve"> освобождаются добровольные пожарные, зарегистрированные в Едином реестре добровольной пожарной охраны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 Ростовской области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 и 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добровольные народные дружинники в отношении принадлежащего им имущества, а так же имущества, используемого социально ориентированными общественными объединениями добровольной</w:t>
      </w:r>
      <w:r>
        <w:rPr>
          <w:rFonts w:ascii="Times New Roman" w:hAnsi="Times New Roman"/>
          <w:color w:val="000000"/>
          <w:spacing w:val="-6"/>
          <w:sz w:val="28"/>
        </w:rPr>
        <w:t xml:space="preserve"> пожарной охраны при осуществлении деятельности по профилактике и (или)</w:t>
      </w:r>
      <w:r>
        <w:rPr>
          <w:rFonts w:ascii="Times New Roman" w:hAnsi="Times New Roman"/>
          <w:color w:val="000000"/>
          <w:spacing w:val="-6"/>
          <w:sz w:val="28"/>
        </w:rPr>
        <w:t xml:space="preserve"> тушению пожаров и проведению аварий</w:t>
      </w:r>
      <w:r>
        <w:rPr>
          <w:rFonts w:ascii="Times New Roman" w:hAnsi="Times New Roman"/>
          <w:color w:val="000000"/>
          <w:spacing w:val="-6"/>
          <w:sz w:val="28"/>
        </w:rPr>
        <w:t>но</w:t>
      </w:r>
      <w:r>
        <w:rPr>
          <w:rFonts w:ascii="Times New Roman" w:hAnsi="Times New Roman"/>
          <w:color w:val="000000"/>
          <w:spacing w:val="-6"/>
          <w:sz w:val="28"/>
        </w:rPr>
        <w:t>- спасательных работ.</w:t>
      </w:r>
    </w:p>
    <w:p w14:paraId="1F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4</w:t>
      </w:r>
      <w:r>
        <w:rPr>
          <w:rFonts w:ascii="Times New Roman" w:hAnsi="Times New Roman"/>
          <w:color w:val="000000"/>
          <w:spacing w:val="-6"/>
          <w:sz w:val="28"/>
        </w:rPr>
        <w:t>.</w:t>
      </w:r>
      <w:r>
        <w:rPr>
          <w:rFonts w:ascii="Times New Roman" w:hAnsi="Times New Roman"/>
          <w:color w:val="000000"/>
          <w:spacing w:val="-6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 xml:space="preserve">Признать утратившим силу Решение Собрания депутатов </w:t>
      </w:r>
      <w:r>
        <w:rPr>
          <w:rFonts w:ascii="Times New Roman" w:hAnsi="Times New Roman"/>
          <w:color w:val="000000"/>
          <w:spacing w:val="-6"/>
          <w:sz w:val="28"/>
        </w:rPr>
        <w:t>Елизаветинского</w:t>
      </w:r>
      <w:r>
        <w:rPr>
          <w:rFonts w:ascii="Times New Roman" w:hAnsi="Times New Roman"/>
          <w:color w:val="000000"/>
          <w:spacing w:val="-6"/>
          <w:sz w:val="28"/>
        </w:rPr>
        <w:t xml:space="preserve"> сельского поселения от </w:t>
      </w:r>
      <w:r>
        <w:rPr>
          <w:rFonts w:ascii="Times New Roman" w:hAnsi="Times New Roman"/>
          <w:color w:val="000000"/>
          <w:spacing w:val="-6"/>
          <w:sz w:val="28"/>
        </w:rPr>
        <w:t>25.11.2019</w:t>
      </w:r>
      <w:r>
        <w:rPr>
          <w:rFonts w:ascii="Times New Roman" w:hAnsi="Times New Roman"/>
          <w:color w:val="000000"/>
          <w:spacing w:val="-6"/>
          <w:sz w:val="28"/>
        </w:rPr>
        <w:t xml:space="preserve"> года №</w:t>
      </w:r>
      <w:r>
        <w:rPr>
          <w:rFonts w:ascii="Times New Roman" w:hAnsi="Times New Roman"/>
          <w:color w:val="000000"/>
          <w:spacing w:val="-6"/>
          <w:sz w:val="28"/>
        </w:rPr>
        <w:t>19</w:t>
      </w:r>
      <w:r>
        <w:rPr>
          <w:rFonts w:ascii="Times New Roman" w:hAnsi="Times New Roman"/>
          <w:color w:val="000000"/>
          <w:spacing w:val="-6"/>
          <w:sz w:val="28"/>
        </w:rPr>
        <w:t xml:space="preserve"> «О налоге на имущество физических лиц.</w:t>
      </w:r>
    </w:p>
    <w:p w14:paraId="20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5</w:t>
      </w:r>
      <w:r>
        <w:rPr>
          <w:rFonts w:ascii="Times New Roman" w:hAnsi="Times New Roman"/>
          <w:color w:val="000000"/>
          <w:spacing w:val="-6"/>
          <w:sz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</w:rPr>
        <w:t xml:space="preserve">Настоящее 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ешение подлежит официальному опубликованию в средствах массовой информации</w:t>
      </w:r>
      <w: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и подлежит размещению на официаль</w:t>
      </w:r>
      <w:r>
        <w:rPr>
          <w:rFonts w:ascii="Times New Roman" w:hAnsi="Times New Roman"/>
          <w:color w:val="000000"/>
          <w:spacing w:val="-1"/>
          <w:sz w:val="28"/>
        </w:rPr>
        <w:t>ном сайте Администрации Елизаветинского</w:t>
      </w:r>
      <w:r>
        <w:rPr>
          <w:rFonts w:ascii="Times New Roman" w:hAnsi="Times New Roman"/>
          <w:color w:val="000000"/>
          <w:spacing w:val="-1"/>
          <w:sz w:val="28"/>
        </w:rPr>
        <w:t xml:space="preserve"> сельского поселения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по адресу </w:t>
      </w:r>
      <w:r>
        <w:rPr>
          <w:rFonts w:ascii="Times New Roman" w:hAnsi="Times New Roman"/>
          <w:color w:val="000000"/>
          <w:spacing w:val="-1"/>
          <w:sz w:val="28"/>
          <w:u w:val="single"/>
        </w:rPr>
        <w:t>www.elizsp.ru</w:t>
      </w:r>
    </w:p>
    <w:p w14:paraId="21000000">
      <w:pPr>
        <w:widowControl w:val="0"/>
        <w:tabs>
          <w:tab w:leader="none" w:pos="567" w:val="left"/>
          <w:tab w:leader="none" w:pos="851" w:val="left"/>
          <w:tab w:leader="none" w:pos="993" w:val="left"/>
          <w:tab w:leader="none" w:pos="1134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6</w:t>
      </w:r>
      <w:r>
        <w:rPr>
          <w:rFonts w:ascii="Times New Roman" w:hAnsi="Times New Roman"/>
          <w:color w:val="000000"/>
          <w:spacing w:val="-1"/>
          <w:sz w:val="28"/>
        </w:rPr>
        <w:t>. Н</w:t>
      </w:r>
      <w:r>
        <w:rPr>
          <w:rFonts w:ascii="Times New Roman" w:hAnsi="Times New Roman"/>
          <w:color w:val="000000"/>
          <w:spacing w:val="-1"/>
          <w:sz w:val="28"/>
        </w:rPr>
        <w:t>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22000000">
      <w:pPr>
        <w:widowControl w:val="0"/>
        <w:tabs>
          <w:tab w:leader="none" w:pos="709" w:val="left"/>
          <w:tab w:leader="none" w:pos="993" w:val="left"/>
        </w:tabs>
        <w:spacing w:after="0"/>
        <w:ind w:right="0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7</w:t>
      </w:r>
      <w:r>
        <w:rPr>
          <w:rFonts w:ascii="Times New Roman" w:hAnsi="Times New Roman"/>
          <w:color w:val="000000"/>
          <w:spacing w:val="-1"/>
          <w:sz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</w:rPr>
        <w:t xml:space="preserve">Контроль за исполнением настоящего 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ешения оставляю за собой</w:t>
      </w:r>
      <w:r>
        <w:rPr>
          <w:rFonts w:ascii="Times New Roman" w:hAnsi="Times New Roman"/>
          <w:color w:val="000000"/>
          <w:spacing w:val="-1"/>
          <w:sz w:val="28"/>
        </w:rPr>
        <w:t>.</w:t>
      </w:r>
    </w:p>
    <w:p w14:paraId="23000000">
      <w:pPr>
        <w:tabs>
          <w:tab w:leader="none" w:pos="7237" w:val="left"/>
        </w:tabs>
        <w:spacing w:after="0" w:before="120"/>
        <w:ind w:firstLine="0" w:left="360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7237" w:val="left"/>
        </w:tabs>
        <w:spacing w:after="0" w:before="120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</w:t>
      </w:r>
      <w:r>
        <w:rPr>
          <w:rFonts w:ascii="Times New Roman" w:hAnsi="Times New Roman"/>
          <w:sz w:val="28"/>
        </w:rPr>
        <w:t>–</w:t>
      </w:r>
    </w:p>
    <w:p w14:paraId="25000000">
      <w:pPr>
        <w:tabs>
          <w:tab w:leader="none" w:pos="9030" w:val="left"/>
        </w:tabs>
        <w:spacing w:after="0" w:before="120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Н.А. Волкова </w:t>
      </w:r>
    </w:p>
    <w:sectPr>
      <w:headerReference r:id="rId1" w:type="default"/>
      <w:pgSz w:h="16838" w:orient="portrait" w:w="11906"/>
      <w:pgMar w:bottom="1134" w:footer="227" w:gutter="0" w:header="227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 w:right="142"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3_ch"/>
    <w:link w:val="Style_9"/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apple-converted-space"/>
    <w:basedOn w:val="Style_19"/>
    <w:link w:val="Style_18_ch"/>
  </w:style>
  <w:style w:styleId="Style_18_ch" w:type="character">
    <w:name w:val="apple-converted-space"/>
    <w:basedOn w:val="Style_19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ConsTitle"/>
    <w:link w:val="Style_2_ch"/>
    <w:pPr>
      <w:widowControl w:val="0"/>
      <w:ind w:right="19772"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22" w:type="paragraph">
    <w:name w:val="blk"/>
    <w:basedOn w:val="Style_19"/>
    <w:link w:val="Style_22_ch"/>
  </w:style>
  <w:style w:styleId="Style_22_ch" w:type="character">
    <w:name w:val="blk"/>
    <w:basedOn w:val="Style_19_ch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List Paragraph"/>
    <w:basedOn w:val="Style_3"/>
    <w:link w:val="Style_28_ch"/>
    <w:pPr>
      <w:ind w:firstLine="0" w:left="720"/>
      <w:contextualSpacing w:val="1"/>
    </w:pPr>
  </w:style>
  <w:style w:styleId="Style_28_ch" w:type="character">
    <w:name w:val="List Paragraph"/>
    <w:basedOn w:val="Style_3_ch"/>
    <w:link w:val="Style_28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2024-11-20T13:27:57Z</dcterms:modified>
</cp:coreProperties>
</file>