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3936"/>
        <w:tblLayout w:type="fixed"/>
      </w:tblPr>
      <w:tblGrid>
        <w:gridCol w:w="5418"/>
      </w:tblGrid>
      <w:tr>
        <w:trPr>
          <w:trHeight w:hRule="atLeast" w:val="255"/>
        </w:trPr>
        <w:tc>
          <w:tcPr>
            <w:tcW w:type="dxa" w:w="5418"/>
            <w:shd w:fill="auto" w:val="clear"/>
            <w:vAlign w:val="bottom"/>
          </w:tcPr>
          <w:p w14:paraId="01000000">
            <w:pPr>
              <w:ind w:firstLine="0" w:left="33"/>
              <w:jc w:val="right"/>
            </w:pPr>
            <w:r>
              <w:rPr>
                <w:sz w:val="28"/>
              </w:rPr>
              <w:t>Приложение 3</w:t>
            </w:r>
          </w:p>
        </w:tc>
      </w:tr>
      <w:tr>
        <w:trPr>
          <w:trHeight w:hRule="atLeast" w:val="255"/>
        </w:trPr>
        <w:tc>
          <w:tcPr>
            <w:tcW w:type="dxa" w:w="5418"/>
            <w:shd w:fill="auto" w:val="clear"/>
            <w:vAlign w:val="bottom"/>
          </w:tcPr>
          <w:p w14:paraId="02000000">
            <w:pPr>
              <w:ind w:firstLine="0" w:left="-108"/>
              <w:jc w:val="right"/>
            </w:pPr>
            <w:r>
              <w:rPr>
                <w:sz w:val="28"/>
              </w:rPr>
              <w:t xml:space="preserve">к  </w:t>
            </w:r>
            <w:r>
              <w:rPr>
                <w:sz w:val="28"/>
              </w:rPr>
              <w:t xml:space="preserve"> решению</w:t>
            </w:r>
            <w:r>
              <w:rPr>
                <w:sz w:val="28"/>
              </w:rPr>
              <w:t xml:space="preserve"> собрания депутатов</w:t>
            </w:r>
          </w:p>
          <w:p w14:paraId="03000000">
            <w:pPr>
              <w:ind w:firstLine="0" w:left="-108"/>
              <w:jc w:val="right"/>
            </w:pPr>
            <w:r>
              <w:rPr>
                <w:sz w:val="28"/>
              </w:rPr>
              <w:t xml:space="preserve"> Елизаветинского сельского поселения </w:t>
            </w:r>
          </w:p>
          <w:p w14:paraId="04000000">
            <w:pPr>
              <w:ind w:firstLine="0" w:left="-108"/>
              <w:jc w:val="right"/>
            </w:pPr>
            <w:r>
              <w:rPr>
                <w:sz w:val="28"/>
              </w:rPr>
              <w:t>«О бюджете Елизаветинского сельского по</w:t>
            </w:r>
            <w:r>
              <w:rPr>
                <w:sz w:val="28"/>
              </w:rPr>
              <w:t>селения Азовского района на</w:t>
            </w:r>
            <w:r>
              <w:rPr>
                <w:sz w:val="28"/>
              </w:rPr>
              <w:t xml:space="preserve"> 2024  год и плановый период 2025</w:t>
            </w:r>
            <w:r>
              <w:rPr>
                <w:sz w:val="28"/>
              </w:rPr>
              <w:t xml:space="preserve"> и 2026</w:t>
            </w:r>
            <w:r>
              <w:rPr>
                <w:sz w:val="28"/>
              </w:rPr>
              <w:t xml:space="preserve"> годов»</w:t>
            </w:r>
          </w:p>
          <w:p w14:paraId="05000000">
            <w:pPr>
              <w:ind w:firstLine="0" w:left="-108"/>
              <w:jc w:val="right"/>
            </w:pPr>
            <w:r>
              <w:rPr>
                <w:sz w:val="28"/>
              </w:rPr>
              <w:t>от 26.12.</w:t>
            </w:r>
            <w:r>
              <w:rPr>
                <w:sz w:val="28"/>
              </w:rPr>
              <w:t>2023 г</w:t>
            </w:r>
            <w:r>
              <w:rPr>
                <w:sz w:val="28"/>
              </w:rPr>
              <w:t xml:space="preserve">. № </w:t>
            </w:r>
            <w:r>
              <w:rPr>
                <w:sz w:val="28"/>
              </w:rPr>
              <w:t>27</w:t>
            </w:r>
            <w:r>
              <w:rPr>
                <w:sz w:val="28"/>
              </w:rPr>
              <w:t xml:space="preserve">  </w:t>
            </w:r>
          </w:p>
          <w:p w14:paraId="06000000">
            <w:pPr>
              <w:ind w:firstLine="0" w:left="-108"/>
              <w:jc w:val="right"/>
              <w:rPr>
                <w:sz w:val="28"/>
              </w:rPr>
            </w:pPr>
          </w:p>
        </w:tc>
      </w:tr>
    </w:tbl>
    <w:p w14:paraId="07000000">
      <w:pPr>
        <w:widowControl w:val="0"/>
        <w:tabs>
          <w:tab w:leader="none" w:pos="7623" w:val="center"/>
        </w:tabs>
        <w:ind/>
        <w:rPr>
          <w:color w:val="000000"/>
          <w:sz w:val="31"/>
        </w:rPr>
      </w:pPr>
    </w:p>
    <w:p w14:paraId="08000000">
      <w:pPr>
        <w:ind/>
        <w:jc w:val="center"/>
        <w:rPr>
          <w:b w:val="1"/>
          <w:color w:val="000000"/>
          <w:sz w:val="28"/>
        </w:rPr>
      </w:pPr>
    </w:p>
    <w:p w14:paraId="09000000">
      <w:pPr>
        <w:ind/>
        <w:jc w:val="center"/>
      </w:pPr>
      <w:r>
        <w:rPr>
          <w:b w:val="1"/>
          <w:sz w:val="28"/>
        </w:rPr>
        <w:t xml:space="preserve">Нормативы </w:t>
      </w:r>
    </w:p>
    <w:p w14:paraId="0A000000">
      <w:pPr>
        <w:ind/>
        <w:jc w:val="center"/>
      </w:pPr>
      <w:r>
        <w:rPr>
          <w:b w:val="1"/>
          <w:sz w:val="28"/>
        </w:rPr>
        <w:t xml:space="preserve">распределения налоговых и неналоговых доходов </w:t>
      </w:r>
    </w:p>
    <w:p w14:paraId="0B000000">
      <w:pPr>
        <w:ind/>
        <w:jc w:val="center"/>
      </w:pPr>
      <w:r>
        <w:rPr>
          <w:b w:val="1"/>
          <w:sz w:val="28"/>
        </w:rPr>
        <w:t xml:space="preserve">в бюджет Елизаветинского сельского поселения Азовского района </w:t>
      </w:r>
    </w:p>
    <w:p w14:paraId="0C000000">
      <w:pPr>
        <w:ind/>
        <w:jc w:val="center"/>
      </w:pPr>
      <w:r>
        <w:rPr>
          <w:b w:val="1"/>
          <w:sz w:val="28"/>
        </w:rPr>
        <w:t>на 2024 год и плановый период 2025 и 2026</w:t>
      </w:r>
      <w:r>
        <w:rPr>
          <w:b w:val="1"/>
          <w:sz w:val="28"/>
        </w:rPr>
        <w:t xml:space="preserve"> годов</w:t>
      </w:r>
    </w:p>
    <w:p w14:paraId="0D000000">
      <w:pPr>
        <w:ind/>
        <w:jc w:val="center"/>
        <w:rPr>
          <w:b w:val="1"/>
          <w:sz w:val="28"/>
        </w:rPr>
      </w:pPr>
    </w:p>
    <w:p w14:paraId="0E000000">
      <w:pPr>
        <w:ind/>
        <w:jc w:val="center"/>
        <w:rPr>
          <w:b w:val="1"/>
          <w:sz w:val="28"/>
        </w:rPr>
      </w:pPr>
    </w:p>
    <w:p w14:paraId="0F000000">
      <w:pPr>
        <w:ind/>
        <w:jc w:val="right"/>
      </w:pPr>
      <w:r>
        <w:rPr>
          <w:sz w:val="28"/>
        </w:rPr>
        <w:t>(в процентах)</w:t>
      </w:r>
    </w:p>
    <w:tbl>
      <w:tblPr>
        <w:tblStyle w:val="Style_1"/>
        <w:tblInd w:type="dxa" w:w="-617"/>
        <w:tblLayout w:type="fixed"/>
      </w:tblPr>
      <w:tblGrid>
        <w:gridCol w:w="3317"/>
        <w:gridCol w:w="5099"/>
        <w:gridCol w:w="1555"/>
      </w:tblGrid>
      <w:tr>
        <w:trPr>
          <w:trHeight w:hRule="atLeast" w:val="510"/>
        </w:trPr>
        <w:tc>
          <w:tcPr>
            <w:tcW w:type="dxa" w:w="331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0000000">
            <w:pPr>
              <w:ind/>
              <w:jc w:val="center"/>
            </w:pPr>
            <w:r>
              <w:rPr>
                <w:b w:val="1"/>
                <w:sz w:val="28"/>
              </w:rPr>
              <w:t>Код бюджетной классификации РФ</w:t>
            </w:r>
          </w:p>
        </w:tc>
        <w:tc>
          <w:tcPr>
            <w:tcW w:type="dxa" w:w="50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1000000">
            <w:pPr>
              <w:pStyle w:val="Style_2"/>
            </w:pPr>
            <w:r>
              <w:rPr>
                <w:sz w:val="28"/>
              </w:rPr>
              <w:t>Наименование дохода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ind/>
              <w:jc w:val="center"/>
            </w:pPr>
            <w:r>
              <w:rPr>
                <w:b w:val="1"/>
                <w:sz w:val="28"/>
              </w:rPr>
              <w:t>Норматив</w:t>
            </w:r>
          </w:p>
        </w:tc>
      </w:tr>
    </w:tbl>
    <w:p w14:paraId="13000000">
      <w:pPr>
        <w:ind/>
        <w:jc w:val="right"/>
        <w:rPr>
          <w:sz w:val="2"/>
        </w:rPr>
      </w:pPr>
    </w:p>
    <w:tbl>
      <w:tblPr>
        <w:tblStyle w:val="Style_1"/>
        <w:tblInd w:type="dxa" w:w="-617"/>
        <w:tblLayout w:type="fixed"/>
      </w:tblPr>
      <w:tblGrid>
        <w:gridCol w:w="3325"/>
        <w:gridCol w:w="5090"/>
        <w:gridCol w:w="1546"/>
        <w:gridCol w:w="10"/>
      </w:tblGrid>
      <w:tr>
        <w:trPr>
          <w:tblHeader/>
        </w:trPr>
        <w:tc>
          <w:tcPr>
            <w:tcW w:type="dxa" w:w="33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4000000">
            <w:pPr>
              <w:ind/>
              <w:jc w:val="center"/>
            </w:pPr>
            <w:r>
              <w:rPr>
                <w:b w:val="1"/>
                <w:color w:val="000000"/>
                <w:sz w:val="28"/>
              </w:rPr>
              <w:t>1</w:t>
            </w:r>
          </w:p>
        </w:tc>
        <w:tc>
          <w:tcPr>
            <w:tcW w:type="dxa" w:w="50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5000000">
            <w:pPr>
              <w:pStyle w:val="Style_3"/>
              <w:ind/>
              <w:jc w:val="center"/>
            </w:pPr>
            <w:r>
              <w:rPr>
                <w:sz w:val="28"/>
              </w:rPr>
              <w:t>2</w:t>
            </w:r>
          </w:p>
        </w:tc>
        <w:tc>
          <w:tcPr>
            <w:tcW w:type="dxa" w:w="155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ind/>
              <w:jc w:val="center"/>
            </w:pPr>
            <w:r>
              <w:rPr>
                <w:b w:val="1"/>
                <w:sz w:val="28"/>
              </w:rPr>
              <w:t>3</w:t>
            </w:r>
          </w:p>
        </w:tc>
      </w:tr>
      <w:tr>
        <w:trPr>
          <w:trHeight w:hRule="atLeast" w:val="585"/>
        </w:trPr>
        <w:tc>
          <w:tcPr>
            <w:tcW w:type="dxa" w:w="3325"/>
            <w:shd w:fill="auto" w:val="clear"/>
          </w:tcPr>
          <w:p w14:paraId="1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1 17 01050 10 0000 180</w:t>
            </w:r>
          </w:p>
        </w:tc>
        <w:tc>
          <w:tcPr>
            <w:tcW w:type="dxa" w:w="5090"/>
            <w:shd w:fill="auto" w:val="clear"/>
          </w:tcPr>
          <w:p w14:paraId="18000000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type="dxa" w:w="1546"/>
            <w:shd w:fill="auto" w:val="clear"/>
          </w:tcPr>
          <w:p w14:paraId="19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type="dxa" w:w="10"/>
          </w:tcPr>
          <w:p/>
        </w:tc>
      </w:tr>
      <w:tr>
        <w:trPr>
          <w:trHeight w:hRule="atLeast" w:val="585"/>
        </w:trPr>
        <w:tc>
          <w:tcPr>
            <w:tcW w:type="dxa" w:w="3325"/>
            <w:shd w:fill="auto" w:val="clear"/>
          </w:tcPr>
          <w:p w14:paraId="1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1 17 15030 10 0000 150</w:t>
            </w:r>
          </w:p>
        </w:tc>
        <w:tc>
          <w:tcPr>
            <w:tcW w:type="dxa" w:w="5090"/>
            <w:shd w:fill="auto" w:val="clear"/>
          </w:tcPr>
          <w:p w14:paraId="1B000000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Инициативные платежи, зачисляемые в бюджеты сельских поселений</w:t>
            </w:r>
          </w:p>
        </w:tc>
        <w:tc>
          <w:tcPr>
            <w:tcW w:type="dxa" w:w="1546"/>
            <w:shd w:fill="auto" w:val="clear"/>
          </w:tcPr>
          <w:p w14:paraId="1C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type="dxa" w:w="10"/>
          </w:tcPr>
          <w:p/>
        </w:tc>
      </w:tr>
      <w:tr>
        <w:trPr>
          <w:trHeight w:hRule="atLeast" w:val="585"/>
        </w:trPr>
        <w:tc>
          <w:tcPr>
            <w:tcW w:type="dxa" w:w="3325"/>
            <w:shd w:fill="auto" w:val="clear"/>
          </w:tcPr>
          <w:p w14:paraId="1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1 17 16000 10 0000 180</w:t>
            </w:r>
          </w:p>
        </w:tc>
        <w:tc>
          <w:tcPr>
            <w:tcW w:type="dxa" w:w="5090"/>
            <w:shd w:fill="auto" w:val="clear"/>
          </w:tcPr>
          <w:p w14:paraId="1E000000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type="dxa" w:w="1546"/>
            <w:shd w:fill="auto" w:val="clear"/>
          </w:tcPr>
          <w:p w14:paraId="1F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type="dxa" w:w="10"/>
          </w:tcPr>
          <w:p/>
        </w:tc>
      </w:tr>
      <w:tr>
        <w:trPr>
          <w:trHeight w:hRule="atLeast" w:val="585"/>
        </w:trPr>
        <w:tc>
          <w:tcPr>
            <w:tcW w:type="dxa" w:w="3325"/>
            <w:shd w:fill="auto" w:val="clear"/>
          </w:tcPr>
          <w:p w14:paraId="2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1 17 02020 10 0000 180</w:t>
            </w:r>
          </w:p>
        </w:tc>
        <w:tc>
          <w:tcPr>
            <w:tcW w:type="dxa" w:w="5090"/>
            <w:shd w:fill="auto" w:val="clear"/>
          </w:tcPr>
          <w:p w14:paraId="2100000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 территориях сельских поселений (по  обязательствам, возникшим до 1 января 2008 года)</w:t>
            </w:r>
          </w:p>
        </w:tc>
        <w:tc>
          <w:tcPr>
            <w:tcW w:type="dxa" w:w="1546"/>
            <w:shd w:fill="auto" w:val="clear"/>
          </w:tcPr>
          <w:p w14:paraId="22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type="dxa" w:w="10"/>
          </w:tcPr>
          <w:p/>
        </w:tc>
      </w:tr>
      <w:tr>
        <w:trPr>
          <w:trHeight w:hRule="atLeast" w:val="585"/>
        </w:trPr>
        <w:tc>
          <w:tcPr>
            <w:tcW w:type="dxa" w:w="3325"/>
            <w:shd w:fill="auto" w:val="clear"/>
          </w:tcPr>
          <w:p w14:paraId="2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1 17 0</w:t>
            </w:r>
            <w:r>
              <w:rPr>
                <w:sz w:val="24"/>
              </w:rPr>
              <w:t>5</w:t>
            </w:r>
            <w:r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  <w:r>
              <w:rPr>
                <w:sz w:val="24"/>
              </w:rPr>
              <w:t>0 10 0000 180</w:t>
            </w:r>
          </w:p>
        </w:tc>
        <w:tc>
          <w:tcPr>
            <w:tcW w:type="dxa" w:w="5090"/>
            <w:shd w:fill="auto" w:val="clear"/>
          </w:tcPr>
          <w:p w14:paraId="24000000">
            <w:pPr>
              <w:ind/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>Прочие неналоговые доходы бюджетов сельских поселений</w:t>
            </w:r>
          </w:p>
        </w:tc>
        <w:tc>
          <w:tcPr>
            <w:tcW w:type="dxa" w:w="1546"/>
            <w:shd w:fill="auto" w:val="clear"/>
          </w:tcPr>
          <w:p w14:paraId="25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type="dxa" w:w="10"/>
          </w:tcPr>
          <w:p/>
        </w:tc>
      </w:tr>
    </w:tbl>
    <w:p w14:paraId="26000000">
      <w:pPr>
        <w:ind/>
        <w:jc w:val="both"/>
      </w:pPr>
    </w:p>
    <w:p w14:paraId="27000000">
      <w:pPr>
        <w:tabs>
          <w:tab w:leader="none" w:pos="6600" w:val="left"/>
        </w:tabs>
        <w:ind/>
        <w:rPr>
          <w:sz w:val="28"/>
        </w:rPr>
      </w:pPr>
    </w:p>
    <w:p w14:paraId="28000000">
      <w:pPr>
        <w:tabs>
          <w:tab w:leader="none" w:pos="6600" w:val="left"/>
        </w:tabs>
        <w:ind/>
        <w:rPr>
          <w:sz w:val="28"/>
        </w:rPr>
      </w:pPr>
    </w:p>
    <w:p w14:paraId="29000000">
      <w:pPr>
        <w:tabs>
          <w:tab w:leader="none" w:pos="6600" w:val="left"/>
        </w:tabs>
        <w:ind/>
        <w:rPr>
          <w:sz w:val="28"/>
        </w:rPr>
      </w:pPr>
    </w:p>
    <w:p w14:paraId="2A000000">
      <w:pPr>
        <w:tabs>
          <w:tab w:leader="none" w:pos="6600" w:val="left"/>
        </w:tabs>
        <w:ind/>
      </w:pPr>
      <w:r>
        <w:rPr>
          <w:sz w:val="28"/>
        </w:rPr>
        <w:t xml:space="preserve">Председатель Собрания депутатов – </w:t>
      </w:r>
    </w:p>
    <w:p w14:paraId="2B000000">
      <w:pPr>
        <w:tabs>
          <w:tab w:leader="none" w:pos="6600" w:val="left"/>
        </w:tabs>
        <w:ind/>
      </w:pPr>
      <w:r>
        <w:rPr>
          <w:sz w:val="28"/>
        </w:rPr>
        <w:t>Глава Елизаветинского сельского поселения</w:t>
      </w:r>
      <w:r>
        <w:rPr>
          <w:sz w:val="28"/>
        </w:rPr>
        <w:tab/>
      </w:r>
      <w:r>
        <w:rPr>
          <w:sz w:val="28"/>
        </w:rPr>
        <w:t xml:space="preserve">  </w:t>
      </w:r>
      <w:r>
        <w:rPr>
          <w:sz w:val="28"/>
        </w:rPr>
        <w:t xml:space="preserve">   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Н.А. Волкова</w:t>
      </w:r>
    </w:p>
    <w:p w14:paraId="2C000000">
      <w:pPr>
        <w:tabs>
          <w:tab w:leader="none" w:pos="0" w:val="left"/>
          <w:tab w:leader="none" w:pos="7605" w:val="left"/>
        </w:tabs>
        <w:ind/>
        <w:jc w:val="both"/>
        <w:rPr>
          <w:sz w:val="28"/>
        </w:rPr>
      </w:pPr>
    </w:p>
    <w:p w14:paraId="2D000000">
      <w:pPr>
        <w:tabs>
          <w:tab w:leader="none" w:pos="0" w:val="left"/>
          <w:tab w:leader="none" w:pos="7605" w:val="left"/>
        </w:tabs>
        <w:ind/>
        <w:jc w:val="both"/>
        <w:rPr>
          <w:sz w:val="28"/>
        </w:rPr>
      </w:pPr>
    </w:p>
    <w:p w14:paraId="2E000000">
      <w:pPr>
        <w:rPr>
          <w:sz w:val="28"/>
        </w:rPr>
      </w:pPr>
    </w:p>
    <w:p w14:paraId="2F000000">
      <w:pPr>
        <w:rPr>
          <w:sz w:val="28"/>
        </w:rPr>
      </w:pPr>
    </w:p>
    <w:p w14:paraId="30000000">
      <w:pPr>
        <w:rPr>
          <w:sz w:val="28"/>
        </w:rPr>
      </w:pPr>
    </w:p>
    <w:p w14:paraId="31000000">
      <w:pPr>
        <w:rPr>
          <w:sz w:val="28"/>
        </w:rPr>
      </w:pPr>
    </w:p>
    <w:p w14:paraId="32000000">
      <w:pPr>
        <w:rPr>
          <w:sz w:val="28"/>
        </w:rPr>
      </w:pPr>
    </w:p>
    <w:sectPr>
      <w:pgSz w:h="16838" w:orient="portrait" w:w="11906"/>
      <w:pgMar w:bottom="567" w:footer="720" w:gutter="0" w:header="720" w:left="1701" w:right="851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19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pStyle w:val="Style_3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pStyle w:val="Style_33"/>
      <w:lvlJc w:val="left"/>
      <w:pPr>
        <w:tabs>
          <w:tab w:leader="none" w:pos="0" w:val="left"/>
        </w:tabs>
        <w:ind w:firstLine="0" w:left="0"/>
      </w:pPr>
    </w:lvl>
    <w:lvl w:ilvl="4">
      <w:start w:val="1"/>
      <w:numFmt w:val="decimal"/>
      <w:pStyle w:val="Style_2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pStyle w:val="Style_36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pStyle w:val="Style_8"/>
      <w:lvlJc w:val="left"/>
      <w:pPr>
        <w:tabs>
          <w:tab w:leader="none" w:pos="0" w:val="left"/>
        </w:tabs>
        <w:ind w:firstLine="0" w:left="0"/>
      </w:pPr>
    </w:lvl>
    <w:lvl w:ilvl="7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lvlJc w:val="left"/>
      <w:pPr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Указатель1"/>
    <w:basedOn w:val="Style_4"/>
    <w:link w:val="Style_6_ch"/>
  </w:style>
  <w:style w:styleId="Style_6_ch" w:type="character">
    <w:name w:val="Указатель1"/>
    <w:basedOn w:val="Style_4_ch"/>
    <w:link w:val="Style_6"/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heading 7"/>
    <w:basedOn w:val="Style_4"/>
    <w:next w:val="Style_4"/>
    <w:link w:val="Style_8_ch"/>
    <w:uiPriority w:val="9"/>
    <w:qFormat/>
    <w:pPr>
      <w:numPr>
        <w:ilvl w:val="6"/>
        <w:numId w:val="1"/>
      </w:numPr>
      <w:spacing w:after="60" w:before="240"/>
      <w:ind/>
      <w:outlineLvl w:val="6"/>
    </w:pPr>
    <w:rPr>
      <w:sz w:val="24"/>
    </w:rPr>
  </w:style>
  <w:style w:styleId="Style_8_ch" w:type="character">
    <w:name w:val="heading 7"/>
    <w:basedOn w:val="Style_4_ch"/>
    <w:link w:val="Style_8"/>
    <w:rPr>
      <w:sz w:val="24"/>
    </w:rPr>
  </w:style>
  <w:style w:styleId="Style_9" w:type="paragraph">
    <w:name w:val="toc 6"/>
    <w:next w:val="Style_4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4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Balloon Text"/>
    <w:basedOn w:val="Style_4"/>
    <w:link w:val="Style_11_ch"/>
    <w:rPr>
      <w:rFonts w:ascii="Tahoma" w:hAnsi="Tahoma"/>
      <w:sz w:val="16"/>
    </w:rPr>
  </w:style>
  <w:style w:styleId="Style_11_ch" w:type="character">
    <w:name w:val="Balloon Text"/>
    <w:basedOn w:val="Style_4_ch"/>
    <w:link w:val="Style_11"/>
    <w:rPr>
      <w:rFonts w:ascii="Tahoma" w:hAnsi="Tahoma"/>
      <w:sz w:val="16"/>
    </w:rPr>
  </w:style>
  <w:style w:styleId="Style_3" w:type="paragraph">
    <w:name w:val="heading 3"/>
    <w:basedOn w:val="Style_4"/>
    <w:next w:val="Style_4"/>
    <w:link w:val="Style_3_ch"/>
    <w:uiPriority w:val="9"/>
    <w:qFormat/>
    <w:pPr>
      <w:keepNext w:val="1"/>
      <w:numPr>
        <w:ilvl w:val="2"/>
        <w:numId w:val="1"/>
      </w:numPr>
      <w:ind/>
      <w:outlineLvl w:val="2"/>
    </w:pPr>
    <w:rPr>
      <w:b w:val="1"/>
      <w:color w:val="000000"/>
      <w:sz w:val="24"/>
    </w:rPr>
  </w:style>
  <w:style w:styleId="Style_3_ch" w:type="character">
    <w:name w:val="heading 3"/>
    <w:basedOn w:val="Style_4_ch"/>
    <w:link w:val="Style_3"/>
    <w:rPr>
      <w:b w:val="1"/>
      <w:color w:val="000000"/>
      <w:sz w:val="24"/>
    </w:rPr>
  </w:style>
  <w:style w:styleId="Style_12" w:type="paragraph">
    <w:name w:val="caption"/>
    <w:basedOn w:val="Style_4"/>
    <w:link w:val="Style_12_ch"/>
    <w:pPr>
      <w:spacing w:after="120" w:before="120"/>
      <w:ind/>
    </w:pPr>
    <w:rPr>
      <w:i w:val="1"/>
      <w:sz w:val="24"/>
    </w:rPr>
  </w:style>
  <w:style w:styleId="Style_12_ch" w:type="character">
    <w:name w:val="caption"/>
    <w:basedOn w:val="Style_4_ch"/>
    <w:link w:val="Style_12"/>
    <w:rPr>
      <w:i w:val="1"/>
      <w:sz w:val="24"/>
    </w:rPr>
  </w:style>
  <w:style w:styleId="Style_13" w:type="paragraph">
    <w:name w:val="Body Text"/>
    <w:basedOn w:val="Style_4"/>
    <w:link w:val="Style_13_ch"/>
    <w:pPr>
      <w:spacing w:after="140" w:before="0" w:line="276" w:lineRule="auto"/>
      <w:ind/>
    </w:pPr>
  </w:style>
  <w:style w:styleId="Style_13_ch" w:type="character">
    <w:name w:val="Body Text"/>
    <w:basedOn w:val="Style_4_ch"/>
    <w:link w:val="Style_13"/>
  </w:style>
  <w:style w:styleId="Style_14" w:type="paragraph">
    <w:name w:val="header"/>
    <w:basedOn w:val="Style_4"/>
    <w:link w:val="Style_14_ch"/>
    <w:pPr>
      <w:tabs>
        <w:tab w:leader="none" w:pos="4677" w:val="center"/>
        <w:tab w:leader="none" w:pos="9355" w:val="right"/>
      </w:tabs>
      <w:ind/>
    </w:pPr>
  </w:style>
  <w:style w:styleId="Style_14_ch" w:type="character">
    <w:name w:val="header"/>
    <w:basedOn w:val="Style_4_ch"/>
    <w:link w:val="Style_14"/>
  </w:style>
  <w:style w:styleId="Style_15" w:type="paragraph">
    <w:name w:val="Содержимое таблицы"/>
    <w:basedOn w:val="Style_4"/>
    <w:link w:val="Style_15_ch"/>
  </w:style>
  <w:style w:styleId="Style_15_ch" w:type="character">
    <w:name w:val="Содержимое таблицы"/>
    <w:basedOn w:val="Style_4_ch"/>
    <w:link w:val="Style_15"/>
  </w:style>
  <w:style w:styleId="Style_16" w:type="paragraph">
    <w:name w:val="toc 3"/>
    <w:next w:val="Style_4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footer"/>
    <w:basedOn w:val="Style_4"/>
    <w:link w:val="Style_17_ch"/>
    <w:pPr>
      <w:tabs>
        <w:tab w:leader="none" w:pos="4677" w:val="center"/>
        <w:tab w:leader="none" w:pos="9355" w:val="right"/>
      </w:tabs>
      <w:ind/>
    </w:pPr>
  </w:style>
  <w:style w:styleId="Style_17_ch" w:type="character">
    <w:name w:val="footer"/>
    <w:basedOn w:val="Style_4_ch"/>
    <w:link w:val="Style_17"/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2" w:type="paragraph">
    <w:name w:val="heading 5"/>
    <w:basedOn w:val="Style_4"/>
    <w:next w:val="Style_4"/>
    <w:link w:val="Style_2_ch"/>
    <w:uiPriority w:val="9"/>
    <w:qFormat/>
    <w:pPr>
      <w:keepNext w:val="1"/>
      <w:numPr>
        <w:ilvl w:val="4"/>
        <w:numId w:val="1"/>
      </w:numPr>
      <w:ind/>
      <w:jc w:val="center"/>
      <w:outlineLvl w:val="4"/>
    </w:pPr>
    <w:rPr>
      <w:b w:val="1"/>
      <w:sz w:val="24"/>
    </w:rPr>
  </w:style>
  <w:style w:styleId="Style_2_ch" w:type="character">
    <w:name w:val="heading 5"/>
    <w:basedOn w:val="Style_4_ch"/>
    <w:link w:val="Style_2"/>
    <w:rPr>
      <w:b w:val="1"/>
      <w:sz w:val="24"/>
    </w:rPr>
  </w:style>
  <w:style w:styleId="Style_19" w:type="paragraph">
    <w:name w:val="heading 1"/>
    <w:basedOn w:val="Style_4"/>
    <w:next w:val="Style_4"/>
    <w:link w:val="Style_19_ch"/>
    <w:uiPriority w:val="9"/>
    <w:qFormat/>
    <w:pPr>
      <w:keepNext w:val="1"/>
      <w:numPr>
        <w:ilvl w:val="0"/>
        <w:numId w:val="1"/>
      </w:numPr>
      <w:spacing w:after="60" w:before="240"/>
      <w:ind/>
      <w:outlineLvl w:val="0"/>
    </w:pPr>
    <w:rPr>
      <w:rFonts w:ascii="Arial" w:hAnsi="Arial"/>
      <w:b w:val="1"/>
      <w:sz w:val="32"/>
    </w:rPr>
  </w:style>
  <w:style w:styleId="Style_19_ch" w:type="character">
    <w:name w:val="heading 1"/>
    <w:basedOn w:val="Style_4_ch"/>
    <w:link w:val="Style_19"/>
    <w:rPr>
      <w:rFonts w:ascii="Arial" w:hAnsi="Arial"/>
      <w:b w:val="1"/>
      <w:sz w:val="32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4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Основной шрифт абзаца1"/>
    <w:link w:val="Style_24_ch"/>
  </w:style>
  <w:style w:styleId="Style_24_ch" w:type="character">
    <w:name w:val="Основной шрифт абзаца1"/>
    <w:link w:val="Style_24"/>
  </w:style>
  <w:style w:styleId="Style_25" w:type="paragraph">
    <w:name w:val="toc 9"/>
    <w:next w:val="Style_4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4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List"/>
    <w:basedOn w:val="Style_13"/>
    <w:link w:val="Style_27_ch"/>
  </w:style>
  <w:style w:styleId="Style_27_ch" w:type="character">
    <w:name w:val="List"/>
    <w:basedOn w:val="Style_13_ch"/>
    <w:link w:val="Style_27"/>
  </w:style>
  <w:style w:styleId="Style_28" w:type="paragraph">
    <w:name w:val="toc 5"/>
    <w:next w:val="Style_4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Знак"/>
    <w:basedOn w:val="Style_4"/>
    <w:link w:val="Style_29_ch"/>
    <w:pPr>
      <w:spacing w:after="160" w:before="0" w:line="240" w:lineRule="exact"/>
      <w:ind/>
    </w:pPr>
    <w:rPr>
      <w:b w:val="1"/>
      <w:sz w:val="28"/>
    </w:rPr>
  </w:style>
  <w:style w:styleId="Style_29_ch" w:type="character">
    <w:name w:val="Знак"/>
    <w:basedOn w:val="Style_4_ch"/>
    <w:link w:val="Style_29"/>
    <w:rPr>
      <w:b w:val="1"/>
      <w:sz w:val="28"/>
    </w:rPr>
  </w:style>
  <w:style w:styleId="Style_30" w:type="paragraph">
    <w:name w:val="Заголовок таблицы"/>
    <w:basedOn w:val="Style_15"/>
    <w:link w:val="Style_30_ch"/>
    <w:pPr>
      <w:ind/>
      <w:jc w:val="center"/>
    </w:pPr>
    <w:rPr>
      <w:b w:val="1"/>
    </w:rPr>
  </w:style>
  <w:style w:styleId="Style_30_ch" w:type="character">
    <w:name w:val="Заголовок таблицы"/>
    <w:basedOn w:val="Style_15_ch"/>
    <w:link w:val="Style_30"/>
    <w:rPr>
      <w:b w:val="1"/>
    </w:rPr>
  </w:style>
  <w:style w:styleId="Style_31" w:type="paragraph">
    <w:name w:val="Subtitle"/>
    <w:next w:val="Style_4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Title"/>
    <w:next w:val="Style_4"/>
    <w:link w:val="Style_3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basedOn w:val="Style_4"/>
    <w:next w:val="Style_4"/>
    <w:link w:val="Style_33_ch"/>
    <w:uiPriority w:val="9"/>
    <w:qFormat/>
    <w:pPr>
      <w:keepNext w:val="1"/>
      <w:numPr>
        <w:ilvl w:val="3"/>
        <w:numId w:val="1"/>
      </w:numPr>
      <w:ind/>
      <w:outlineLvl w:val="3"/>
    </w:pPr>
    <w:rPr>
      <w:b w:val="1"/>
      <w:sz w:val="28"/>
    </w:rPr>
  </w:style>
  <w:style w:styleId="Style_33_ch" w:type="character">
    <w:name w:val="heading 4"/>
    <w:basedOn w:val="Style_4_ch"/>
    <w:link w:val="Style_33"/>
    <w:rPr>
      <w:b w:val="1"/>
      <w:sz w:val="28"/>
    </w:rPr>
  </w:style>
  <w:style w:styleId="Style_34" w:type="paragraph">
    <w:name w:val="heading 2"/>
    <w:next w:val="Style_4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styleId="Style_35" w:type="paragraph">
    <w:name w:val="Заголовок"/>
    <w:basedOn w:val="Style_4"/>
    <w:next w:val="Style_13"/>
    <w:link w:val="Style_35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5_ch" w:type="character">
    <w:name w:val="Заголовок"/>
    <w:basedOn w:val="Style_4_ch"/>
    <w:link w:val="Style_35"/>
    <w:rPr>
      <w:rFonts w:ascii="Liberation Sans" w:hAnsi="Liberation Sans"/>
      <w:sz w:val="28"/>
    </w:rPr>
  </w:style>
  <w:style w:styleId="Style_36" w:type="paragraph">
    <w:name w:val="heading 6"/>
    <w:basedOn w:val="Style_4"/>
    <w:next w:val="Style_4"/>
    <w:link w:val="Style_36_ch"/>
    <w:uiPriority w:val="9"/>
    <w:qFormat/>
    <w:pPr>
      <w:keepNext w:val="1"/>
      <w:numPr>
        <w:ilvl w:val="5"/>
        <w:numId w:val="1"/>
      </w:numPr>
      <w:ind/>
      <w:jc w:val="both"/>
      <w:outlineLvl w:val="5"/>
    </w:pPr>
    <w:rPr>
      <w:b w:val="1"/>
      <w:color w:val="000000"/>
      <w:sz w:val="28"/>
    </w:rPr>
  </w:style>
  <w:style w:styleId="Style_36_ch" w:type="character">
    <w:name w:val="heading 6"/>
    <w:basedOn w:val="Style_4_ch"/>
    <w:link w:val="Style_36"/>
    <w:rPr>
      <w:b w:val="1"/>
      <w:color w:val="000000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2023-12-27T13:20:30Z</dcterms:modified>
</cp:coreProperties>
</file>