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Ind w:type="dxa" w:w="3936"/>
        <w:tblLayout w:type="fixed"/>
      </w:tblPr>
      <w:tblGrid>
        <w:gridCol w:w="5418"/>
      </w:tblGrid>
      <w:tr>
        <w:trPr>
          <w:trHeight w:hRule="atLeast" w:val="255"/>
        </w:trPr>
        <w:tc>
          <w:tcPr>
            <w:tcW w:type="dxa" w:w="5418"/>
            <w:shd w:fill="auto" w:val="clear"/>
            <w:vAlign w:val="bottom"/>
          </w:tcPr>
          <w:p w14:paraId="01000000">
            <w:pPr>
              <w:ind w:firstLine="0" w:left="33"/>
              <w:jc w:val="right"/>
            </w:pPr>
            <w:r>
              <w:rPr>
                <w:sz w:val="28"/>
              </w:rPr>
              <w:t>Приложение 3</w:t>
            </w:r>
          </w:p>
        </w:tc>
      </w:tr>
      <w:tr>
        <w:trPr>
          <w:trHeight w:hRule="atLeast" w:val="255"/>
        </w:trPr>
        <w:tc>
          <w:tcPr>
            <w:tcW w:type="dxa" w:w="5418"/>
            <w:shd w:fill="auto" w:val="clear"/>
            <w:vAlign w:val="bottom"/>
          </w:tcPr>
          <w:p w14:paraId="02000000">
            <w:pPr>
              <w:ind w:firstLine="0" w:left="-108"/>
              <w:jc w:val="right"/>
            </w:pPr>
            <w:r>
              <w:rPr>
                <w:sz w:val="28"/>
              </w:rPr>
              <w:t>к</w:t>
            </w:r>
            <w:r>
              <w:rPr>
                <w:sz w:val="28"/>
              </w:rPr>
              <w:t xml:space="preserve"> проекту решению</w:t>
            </w:r>
            <w:r>
              <w:rPr>
                <w:sz w:val="28"/>
              </w:rPr>
              <w:t xml:space="preserve"> собрания депутатов</w:t>
            </w:r>
          </w:p>
          <w:p w14:paraId="03000000">
            <w:pPr>
              <w:ind w:firstLine="0" w:left="-108"/>
              <w:jc w:val="right"/>
            </w:pPr>
            <w:r>
              <w:rPr>
                <w:sz w:val="28"/>
              </w:rPr>
              <w:t xml:space="preserve">№__ от __________ Елизаветинского сельского поселения </w:t>
            </w:r>
          </w:p>
          <w:p w14:paraId="04000000">
            <w:pPr>
              <w:ind w:firstLine="0" w:left="-108"/>
              <w:jc w:val="right"/>
            </w:pPr>
            <w:r>
              <w:rPr>
                <w:sz w:val="28"/>
              </w:rPr>
              <w:t>«О внесении изменений в Решение Собрания депутатов « О бюджете Елизаветинского сельского по</w:t>
            </w:r>
            <w:r>
              <w:rPr>
                <w:sz w:val="28"/>
              </w:rPr>
              <w:t>селения Азовского района на</w:t>
            </w:r>
            <w:r>
              <w:rPr>
                <w:sz w:val="28"/>
              </w:rPr>
              <w:t xml:space="preserve"> 2023  год и плановый период 2024</w:t>
            </w:r>
            <w:r>
              <w:rPr>
                <w:sz w:val="28"/>
              </w:rPr>
              <w:t xml:space="preserve"> и 2025</w:t>
            </w:r>
            <w:r>
              <w:rPr>
                <w:sz w:val="28"/>
              </w:rPr>
              <w:t xml:space="preserve"> годов»</w:t>
            </w:r>
          </w:p>
          <w:p w14:paraId="05000000">
            <w:pPr>
              <w:ind w:firstLine="0" w:left="-108"/>
              <w:jc w:val="right"/>
            </w:pPr>
            <w:r>
              <w:rPr>
                <w:sz w:val="28"/>
              </w:rPr>
              <w:t>от 26.12.</w:t>
            </w:r>
            <w:r>
              <w:rPr>
                <w:sz w:val="28"/>
              </w:rPr>
              <w:t>2022 г</w:t>
            </w:r>
            <w:r>
              <w:rPr>
                <w:sz w:val="28"/>
              </w:rPr>
              <w:t>. №</w:t>
            </w:r>
            <w:r>
              <w:rPr>
                <w:sz w:val="28"/>
              </w:rPr>
              <w:t xml:space="preserve"> 24</w:t>
            </w:r>
            <w:r>
              <w:rPr>
                <w:sz w:val="28"/>
              </w:rPr>
              <w:t xml:space="preserve">  </w:t>
            </w:r>
          </w:p>
          <w:p w14:paraId="06000000">
            <w:pPr>
              <w:ind w:firstLine="0" w:left="-108"/>
              <w:jc w:val="right"/>
              <w:rPr>
                <w:sz w:val="28"/>
              </w:rPr>
            </w:pPr>
          </w:p>
        </w:tc>
      </w:tr>
    </w:tbl>
    <w:p w14:paraId="07000000">
      <w:pPr>
        <w:widowControl w:val="0"/>
        <w:tabs>
          <w:tab w:leader="none" w:pos="7623" w:val="center"/>
        </w:tabs>
        <w:ind/>
        <w:rPr>
          <w:color w:val="000000"/>
          <w:sz w:val="31"/>
        </w:rPr>
      </w:pPr>
    </w:p>
    <w:p w14:paraId="08000000">
      <w:pPr>
        <w:ind/>
        <w:jc w:val="center"/>
        <w:rPr>
          <w:b w:val="1"/>
          <w:color w:val="000000"/>
          <w:sz w:val="28"/>
        </w:rPr>
      </w:pPr>
    </w:p>
    <w:p w14:paraId="09000000">
      <w:pPr>
        <w:ind/>
        <w:jc w:val="center"/>
      </w:pPr>
      <w:r>
        <w:rPr>
          <w:b w:val="1"/>
          <w:sz w:val="28"/>
        </w:rPr>
        <w:t xml:space="preserve">Нормативы </w:t>
      </w:r>
    </w:p>
    <w:p w14:paraId="0A000000">
      <w:pPr>
        <w:ind/>
        <w:jc w:val="center"/>
      </w:pPr>
      <w:r>
        <w:rPr>
          <w:b w:val="1"/>
          <w:sz w:val="28"/>
        </w:rPr>
        <w:t xml:space="preserve">распределения налоговых и неналоговых доходов </w:t>
      </w:r>
    </w:p>
    <w:p w14:paraId="0B000000">
      <w:pPr>
        <w:ind/>
        <w:jc w:val="center"/>
      </w:pPr>
      <w:r>
        <w:rPr>
          <w:b w:val="1"/>
          <w:sz w:val="28"/>
        </w:rPr>
        <w:t xml:space="preserve">в бюджет Елизаветинского сельского поселения Азовского района </w:t>
      </w:r>
    </w:p>
    <w:p w14:paraId="0C000000">
      <w:pPr>
        <w:ind/>
        <w:jc w:val="center"/>
      </w:pPr>
      <w:r>
        <w:rPr>
          <w:b w:val="1"/>
          <w:sz w:val="28"/>
        </w:rPr>
        <w:t>на 2023 год и плановый период 2024 и 2025</w:t>
      </w:r>
      <w:r>
        <w:rPr>
          <w:b w:val="1"/>
          <w:sz w:val="28"/>
        </w:rPr>
        <w:t xml:space="preserve"> годов</w:t>
      </w:r>
    </w:p>
    <w:p w14:paraId="0D000000">
      <w:pPr>
        <w:ind/>
        <w:jc w:val="center"/>
        <w:rPr>
          <w:b w:val="1"/>
          <w:sz w:val="28"/>
        </w:rPr>
      </w:pPr>
    </w:p>
    <w:p w14:paraId="0E000000">
      <w:pPr>
        <w:ind/>
        <w:jc w:val="center"/>
        <w:rPr>
          <w:b w:val="1"/>
          <w:sz w:val="28"/>
        </w:rPr>
      </w:pPr>
    </w:p>
    <w:p w14:paraId="0F000000">
      <w:pPr>
        <w:ind/>
        <w:jc w:val="right"/>
      </w:pPr>
      <w:r>
        <w:rPr>
          <w:sz w:val="28"/>
        </w:rPr>
        <w:t>(в процентах)</w:t>
      </w:r>
    </w:p>
    <w:tbl>
      <w:tblPr>
        <w:tblStyle w:val="Style_1"/>
        <w:tblInd w:type="dxa" w:w="-617"/>
        <w:tblLayout w:type="fixed"/>
      </w:tblPr>
      <w:tblGrid>
        <w:gridCol w:w="2847"/>
        <w:gridCol w:w="5569"/>
        <w:gridCol w:w="1555"/>
      </w:tblGrid>
      <w:tr>
        <w:trPr>
          <w:trHeight w:hRule="atLeast" w:val="510"/>
        </w:trPr>
        <w:tc>
          <w:tcPr>
            <w:tcW w:type="dxa" w:w="284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0000000">
            <w:pPr>
              <w:ind/>
              <w:jc w:val="center"/>
            </w:pPr>
            <w:r>
              <w:rPr>
                <w:b w:val="1"/>
                <w:sz w:val="28"/>
              </w:rPr>
              <w:t>Код бюджетной классификации РФ</w:t>
            </w:r>
          </w:p>
        </w:tc>
        <w:tc>
          <w:tcPr>
            <w:tcW w:type="dxa" w:w="556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1000000">
            <w:pPr>
              <w:pStyle w:val="Style_2"/>
            </w:pPr>
            <w:r>
              <w:rPr>
                <w:sz w:val="28"/>
              </w:rPr>
              <w:t>Наименование дохода</w:t>
            </w:r>
          </w:p>
        </w:tc>
        <w:tc>
          <w:tcPr>
            <w:tcW w:type="dxa" w:w="1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00000">
            <w:pPr>
              <w:ind/>
              <w:jc w:val="center"/>
            </w:pPr>
            <w:r>
              <w:rPr>
                <w:b w:val="1"/>
                <w:sz w:val="28"/>
              </w:rPr>
              <w:t>Норматив</w:t>
            </w:r>
          </w:p>
        </w:tc>
      </w:tr>
    </w:tbl>
    <w:p w14:paraId="13000000">
      <w:pPr>
        <w:ind/>
        <w:jc w:val="right"/>
        <w:rPr>
          <w:sz w:val="2"/>
        </w:rPr>
      </w:pPr>
    </w:p>
    <w:tbl>
      <w:tblPr>
        <w:tblStyle w:val="Style_1"/>
        <w:tblInd w:type="dxa" w:w="-617"/>
        <w:tblLayout w:type="fixed"/>
      </w:tblPr>
      <w:tblGrid>
        <w:gridCol w:w="2846"/>
        <w:gridCol w:w="5569"/>
        <w:gridCol w:w="1546"/>
        <w:gridCol w:w="10"/>
      </w:tblGrid>
      <w:tr>
        <w:trPr>
          <w:tblHeader/>
        </w:trPr>
        <w:tc>
          <w:tcPr>
            <w:tcW w:type="dxa" w:w="284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4000000">
            <w:pPr>
              <w:ind/>
              <w:jc w:val="center"/>
            </w:pPr>
            <w:r>
              <w:rPr>
                <w:b w:val="1"/>
                <w:color w:val="000000"/>
                <w:sz w:val="28"/>
              </w:rPr>
              <w:t>1</w:t>
            </w:r>
          </w:p>
        </w:tc>
        <w:tc>
          <w:tcPr>
            <w:tcW w:type="dxa" w:w="556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15000000">
            <w:pPr>
              <w:pStyle w:val="Style_3"/>
              <w:ind/>
              <w:jc w:val="center"/>
            </w:pPr>
            <w:r>
              <w:rPr>
                <w:sz w:val="28"/>
              </w:rPr>
              <w:t>2</w:t>
            </w:r>
          </w:p>
        </w:tc>
        <w:tc>
          <w:tcPr>
            <w:tcW w:type="dxa" w:w="155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000000">
            <w:pPr>
              <w:ind/>
              <w:jc w:val="center"/>
            </w:pPr>
            <w:r>
              <w:rPr>
                <w:b w:val="1"/>
                <w:sz w:val="28"/>
              </w:rPr>
              <w:t>3</w:t>
            </w:r>
          </w:p>
        </w:tc>
      </w:tr>
      <w:tr>
        <w:trPr>
          <w:trHeight w:hRule="atLeast" w:val="585"/>
        </w:trPr>
        <w:tc>
          <w:tcPr>
            <w:tcW w:type="dxa" w:w="2846"/>
            <w:shd w:fill="auto" w:val="clear"/>
          </w:tcPr>
          <w:p w14:paraId="17000000">
            <w:pPr>
              <w:ind/>
              <w:jc w:val="left"/>
            </w:pPr>
            <w:r>
              <w:rPr>
                <w:sz w:val="28"/>
              </w:rPr>
              <w:t>1 17 02020 10 0000 180</w:t>
            </w:r>
          </w:p>
        </w:tc>
        <w:tc>
          <w:tcPr>
            <w:tcW w:type="dxa" w:w="5569"/>
            <w:shd w:fill="auto" w:val="clear"/>
          </w:tcPr>
          <w:p w14:paraId="18000000">
            <w:r>
              <w:rPr>
                <w:color w:val="000000"/>
                <w:sz w:val="28"/>
              </w:rPr>
              <w:t>Возмещение потерь сельскохозяйственного производства, связанных с изъятием сельскохозяйственных угодий, расположенных на  территориях сельских поселений (по  обязательствам, возникшим до 1 января 2008 года)</w:t>
            </w:r>
          </w:p>
        </w:tc>
        <w:tc>
          <w:tcPr>
            <w:tcW w:type="dxa" w:w="1546"/>
            <w:shd w:fill="auto" w:val="clear"/>
          </w:tcPr>
          <w:p w14:paraId="19000000">
            <w:pPr>
              <w:widowControl w:val="0"/>
              <w:ind/>
              <w:jc w:val="center"/>
            </w:pPr>
            <w:r>
              <w:rPr>
                <w:sz w:val="28"/>
              </w:rPr>
              <w:t>100</w:t>
            </w:r>
          </w:p>
        </w:tc>
        <w:tc>
          <w:tcPr>
            <w:tcW w:type="dxa" w:w="10"/>
          </w:tcPr>
          <w:p/>
        </w:tc>
      </w:tr>
      <w:tr>
        <w:trPr>
          <w:trHeight w:hRule="atLeast" w:val="585"/>
        </w:trPr>
        <w:tc>
          <w:tcPr>
            <w:tcW w:type="dxa" w:w="2846"/>
            <w:shd w:fill="auto" w:val="clear"/>
          </w:tcPr>
          <w:p w14:paraId="1A000000">
            <w:pPr>
              <w:rPr>
                <w:sz w:val="28"/>
              </w:rPr>
            </w:pPr>
            <w:r>
              <w:rPr>
                <w:sz w:val="28"/>
              </w:rPr>
              <w:t>1 17 01050 10 0000 180</w:t>
            </w:r>
          </w:p>
        </w:tc>
        <w:tc>
          <w:tcPr>
            <w:tcW w:type="dxa" w:w="5569"/>
            <w:shd w:fill="auto" w:val="clear"/>
          </w:tcPr>
          <w:p w14:paraId="1B000000">
            <w:pPr>
              <w:ind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Невыясненные поступления, зачисляемые в бюджеты  сельских поселений </w:t>
            </w:r>
          </w:p>
        </w:tc>
        <w:tc>
          <w:tcPr>
            <w:tcW w:type="dxa" w:w="1546"/>
            <w:shd w:fill="auto" w:val="clear"/>
          </w:tcPr>
          <w:p w14:paraId="1C00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  <w:tc>
          <w:tcPr>
            <w:tcW w:type="dxa" w:w="10"/>
          </w:tcPr>
          <w:p/>
        </w:tc>
      </w:tr>
      <w:tr>
        <w:trPr>
          <w:trHeight w:hRule="atLeast" w:val="585"/>
        </w:trPr>
        <w:tc>
          <w:tcPr>
            <w:tcW w:type="dxa" w:w="2846"/>
            <w:shd w:fill="auto" w:val="clear"/>
          </w:tcPr>
          <w:p w14:paraId="1D000000">
            <w:r>
              <w:rPr>
                <w:sz w:val="28"/>
              </w:rPr>
              <w:t>1 17 0</w:t>
            </w:r>
            <w:r>
              <w:rPr>
                <w:sz w:val="28"/>
              </w:rPr>
              <w:t>5</w:t>
            </w:r>
            <w:r>
              <w:rPr>
                <w:sz w:val="28"/>
              </w:rPr>
              <w:t>0</w:t>
            </w:r>
            <w:r>
              <w:rPr>
                <w:sz w:val="28"/>
              </w:rPr>
              <w:t>5</w:t>
            </w:r>
            <w:r>
              <w:rPr>
                <w:sz w:val="28"/>
              </w:rPr>
              <w:t>0 10 0000 180</w:t>
            </w:r>
          </w:p>
        </w:tc>
        <w:tc>
          <w:tcPr>
            <w:tcW w:type="dxa" w:w="5569"/>
            <w:shd w:fill="auto" w:val="clear"/>
          </w:tcPr>
          <w:p w14:paraId="1E000000">
            <w:pPr>
              <w:ind/>
              <w:jc w:val="both"/>
            </w:pPr>
            <w:r>
              <w:rPr>
                <w:color w:val="000000"/>
                <w:sz w:val="28"/>
              </w:rPr>
              <w:t>Прочие неналоговые доходы бюджетов сельских поселений</w:t>
            </w:r>
          </w:p>
        </w:tc>
        <w:tc>
          <w:tcPr>
            <w:tcW w:type="dxa" w:w="1546"/>
            <w:shd w:fill="auto" w:val="clear"/>
          </w:tcPr>
          <w:p w14:paraId="1F000000">
            <w:pPr>
              <w:widowControl w:val="0"/>
              <w:ind/>
              <w:jc w:val="center"/>
            </w:pPr>
            <w:r>
              <w:rPr>
                <w:sz w:val="28"/>
              </w:rPr>
              <w:t>100</w:t>
            </w:r>
          </w:p>
        </w:tc>
        <w:tc>
          <w:tcPr>
            <w:tcW w:type="dxa" w:w="10"/>
          </w:tcPr>
          <w:p/>
        </w:tc>
      </w:tr>
      <w:tr>
        <w:trPr>
          <w:trHeight w:hRule="atLeast" w:val="585"/>
        </w:trPr>
        <w:tc>
          <w:tcPr>
            <w:tcW w:type="dxa" w:w="2846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rPr>
                <w:sz w:val="28"/>
              </w:rPr>
            </w:pPr>
            <w:r>
              <w:rPr>
                <w:sz w:val="28"/>
              </w:rPr>
              <w:t>1 17 15030 10 0000 150</w:t>
            </w:r>
          </w:p>
        </w:tc>
        <w:tc>
          <w:tcPr>
            <w:tcW w:type="dxa" w:w="5569"/>
            <w:shd w:fill="auto" w:val="clear"/>
          </w:tcPr>
          <w:p w14:paraId="21000000">
            <w:pPr>
              <w:ind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Инициативные платежи, зачисляемые в бюджеты сельских поселений</w:t>
            </w:r>
          </w:p>
        </w:tc>
        <w:tc>
          <w:tcPr>
            <w:tcW w:type="dxa" w:w="1546"/>
            <w:shd w:fill="auto" w:val="clear"/>
          </w:tcPr>
          <w:p w14:paraId="2200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  <w:tc>
          <w:tcPr>
            <w:tcW w:type="dxa" w:w="10"/>
          </w:tcPr>
          <w:p/>
        </w:tc>
      </w:tr>
      <w:tr>
        <w:trPr>
          <w:trHeight w:hRule="atLeast" w:val="585"/>
        </w:trPr>
        <w:tc>
          <w:tcPr>
            <w:tcW w:type="dxa" w:w="2846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00000">
            <w:pPr>
              <w:rPr>
                <w:sz w:val="28"/>
              </w:rPr>
            </w:pPr>
            <w:r>
              <w:rPr>
                <w:sz w:val="28"/>
              </w:rPr>
              <w:t>1 17 16000 10 0000 180</w:t>
            </w:r>
          </w:p>
        </w:tc>
        <w:tc>
          <w:tcPr>
            <w:tcW w:type="dxa" w:w="5569"/>
            <w:shd w:fill="auto" w:val="clear"/>
          </w:tcPr>
          <w:p w14:paraId="24000000">
            <w:pPr>
              <w:ind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Прочие неналоговые доходы  бюджетов сельских поселений в части невыясненных  поступлений , по которым не осуществлен возврат не позднее  трех лет со дня  их зачисления  на единый счет бюджета  сельского поселения.</w:t>
            </w:r>
          </w:p>
        </w:tc>
        <w:tc>
          <w:tcPr>
            <w:tcW w:type="dxa" w:w="1546"/>
            <w:shd w:fill="auto" w:val="clear"/>
          </w:tcPr>
          <w:p w14:paraId="2500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  <w:tc>
          <w:tcPr>
            <w:tcW w:type="dxa" w:w="10"/>
          </w:tcPr>
          <w:p/>
        </w:tc>
      </w:tr>
    </w:tbl>
    <w:p w14:paraId="26000000">
      <w:pPr>
        <w:tabs>
          <w:tab w:leader="none" w:pos="6600" w:val="left"/>
        </w:tabs>
        <w:ind/>
        <w:rPr>
          <w:sz w:val="28"/>
        </w:rPr>
      </w:pPr>
    </w:p>
    <w:p w14:paraId="27000000">
      <w:pPr>
        <w:tabs>
          <w:tab w:leader="none" w:pos="6600" w:val="left"/>
        </w:tabs>
        <w:ind/>
      </w:pPr>
      <w:r>
        <w:rPr>
          <w:sz w:val="28"/>
        </w:rPr>
        <w:t xml:space="preserve">Председатель Собрания депутатов – </w:t>
      </w:r>
    </w:p>
    <w:p w14:paraId="28000000">
      <w:pPr>
        <w:tabs>
          <w:tab w:leader="none" w:pos="6600" w:val="left"/>
        </w:tabs>
        <w:ind/>
      </w:pPr>
      <w:r>
        <w:rPr>
          <w:sz w:val="28"/>
        </w:rPr>
        <w:t>Глава Елизаветинского сельского поселения</w:t>
      </w:r>
      <w:r>
        <w:rPr>
          <w:sz w:val="28"/>
        </w:rPr>
        <w:t xml:space="preserve"> </w:t>
      </w:r>
      <w:r>
        <w:rPr>
          <w:sz w:val="28"/>
        </w:rPr>
        <w:t xml:space="preserve">   </w:t>
      </w:r>
      <w:r>
        <w:rPr>
          <w:sz w:val="28"/>
        </w:rPr>
        <w:t xml:space="preserve">  </w:t>
      </w:r>
      <w:r>
        <w:rPr>
          <w:sz w:val="28"/>
        </w:rPr>
        <w:t xml:space="preserve">                   </w:t>
      </w:r>
      <w:r>
        <w:rPr>
          <w:sz w:val="28"/>
        </w:rPr>
        <w:tab/>
      </w:r>
      <w:r>
        <w:rPr>
          <w:sz w:val="28"/>
        </w:rPr>
        <w:t>Н.А. Волкова</w:t>
      </w:r>
    </w:p>
    <w:p w14:paraId="29000000">
      <w:pPr>
        <w:tabs>
          <w:tab w:leader="none" w:pos="0" w:val="left"/>
          <w:tab w:leader="none" w:pos="7605" w:val="left"/>
        </w:tabs>
        <w:ind/>
        <w:jc w:val="both"/>
        <w:rPr>
          <w:sz w:val="28"/>
        </w:rPr>
      </w:pPr>
    </w:p>
    <w:p w14:paraId="2A000000">
      <w:pPr>
        <w:rPr>
          <w:sz w:val="28"/>
        </w:rPr>
      </w:pPr>
    </w:p>
    <w:p w14:paraId="2B000000">
      <w:pPr>
        <w:rPr>
          <w:sz w:val="28"/>
        </w:rPr>
      </w:pPr>
    </w:p>
    <w:p w14:paraId="2C000000">
      <w:pPr>
        <w:rPr>
          <w:sz w:val="28"/>
        </w:rPr>
      </w:pPr>
    </w:p>
    <w:sectPr>
      <w:pgSz w:h="16838" w:orient="portrait" w:w="11906"/>
      <w:pgMar w:bottom="567" w:footer="720" w:gutter="0" w:header="720" w:left="1701" w:right="851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19"/>
      <w:lvlJc w:val="left"/>
      <w:pPr>
        <w:tabs>
          <w:tab w:leader="none" w:pos="0" w:val="left"/>
        </w:tabs>
        <w:ind w:firstLine="0" w:left="0"/>
      </w:pPr>
    </w:lvl>
    <w:lvl w:ilvl="1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2">
      <w:start w:val="1"/>
      <w:numFmt w:val="decimal"/>
      <w:pStyle w:val="Style_3"/>
      <w:lvlJc w:val="left"/>
      <w:pPr>
        <w:tabs>
          <w:tab w:leader="none" w:pos="0" w:val="left"/>
        </w:tabs>
        <w:ind w:firstLine="0" w:left="0"/>
      </w:pPr>
    </w:lvl>
    <w:lvl w:ilvl="3">
      <w:start w:val="1"/>
      <w:numFmt w:val="decimal"/>
      <w:pStyle w:val="Style_32"/>
      <w:lvlJc w:val="left"/>
      <w:pPr>
        <w:tabs>
          <w:tab w:leader="none" w:pos="0" w:val="left"/>
        </w:tabs>
        <w:ind w:firstLine="0" w:left="0"/>
      </w:pPr>
    </w:lvl>
    <w:lvl w:ilvl="4">
      <w:start w:val="1"/>
      <w:numFmt w:val="decimal"/>
      <w:pStyle w:val="Style_2"/>
      <w:lvlJc w:val="left"/>
      <w:pPr>
        <w:tabs>
          <w:tab w:leader="none" w:pos="0" w:val="left"/>
        </w:tabs>
        <w:ind w:firstLine="0" w:left="0"/>
      </w:pPr>
    </w:lvl>
    <w:lvl w:ilvl="5">
      <w:start w:val="1"/>
      <w:numFmt w:val="decimal"/>
      <w:pStyle w:val="Style_36"/>
      <w:lvlJc w:val="left"/>
      <w:pPr>
        <w:tabs>
          <w:tab w:leader="none" w:pos="0" w:val="left"/>
        </w:tabs>
        <w:ind w:firstLine="0" w:left="0"/>
      </w:pPr>
    </w:lvl>
    <w:lvl w:ilvl="6">
      <w:start w:val="1"/>
      <w:numFmt w:val="decimal"/>
      <w:pStyle w:val="Style_7"/>
      <w:lvlJc w:val="left"/>
      <w:pPr>
        <w:tabs>
          <w:tab w:leader="none" w:pos="0" w:val="left"/>
        </w:tabs>
        <w:ind w:firstLine="0" w:left="0"/>
      </w:pPr>
    </w:lvl>
    <w:lvl w:ilvl="7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8">
      <w:start w:val="1"/>
      <w:numFmt w:val="decimal"/>
      <w:lvlJc w:val="left"/>
      <w:pPr>
        <w:tabs>
          <w:tab w:leader="none" w:pos="0" w:val="left"/>
        </w:tabs>
        <w:ind w:firstLine="0" w:left="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heading 7"/>
    <w:basedOn w:val="Style_4"/>
    <w:next w:val="Style_4"/>
    <w:link w:val="Style_7_ch"/>
    <w:uiPriority w:val="9"/>
    <w:qFormat/>
    <w:pPr>
      <w:numPr>
        <w:ilvl w:val="6"/>
        <w:numId w:val="1"/>
      </w:numPr>
      <w:spacing w:after="60" w:before="240"/>
      <w:ind/>
      <w:outlineLvl w:val="6"/>
    </w:pPr>
    <w:rPr>
      <w:sz w:val="24"/>
    </w:rPr>
  </w:style>
  <w:style w:styleId="Style_7_ch" w:type="character">
    <w:name w:val="heading 7"/>
    <w:basedOn w:val="Style_4_ch"/>
    <w:link w:val="Style_7"/>
    <w:rPr>
      <w:sz w:val="24"/>
    </w:rPr>
  </w:style>
  <w:style w:styleId="Style_8" w:type="paragraph">
    <w:name w:val="Заголовок"/>
    <w:basedOn w:val="Style_4"/>
    <w:next w:val="Style_9"/>
    <w:link w:val="Style_8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8_ch" w:type="character">
    <w:name w:val="Заголовок"/>
    <w:basedOn w:val="Style_4_ch"/>
    <w:link w:val="Style_8"/>
    <w:rPr>
      <w:rFonts w:ascii="Liberation Sans" w:hAnsi="Liberation Sans"/>
      <w:sz w:val="28"/>
    </w:rPr>
  </w:style>
  <w:style w:styleId="Style_10" w:type="paragraph">
    <w:name w:val="toc 6"/>
    <w:next w:val="Style_4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4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caption"/>
    <w:basedOn w:val="Style_4"/>
    <w:link w:val="Style_12_ch"/>
    <w:pPr>
      <w:spacing w:after="120" w:before="120"/>
      <w:ind/>
    </w:pPr>
    <w:rPr>
      <w:i w:val="1"/>
      <w:sz w:val="24"/>
    </w:rPr>
  </w:style>
  <w:style w:styleId="Style_12_ch" w:type="character">
    <w:name w:val="caption"/>
    <w:basedOn w:val="Style_4_ch"/>
    <w:link w:val="Style_12"/>
    <w:rPr>
      <w:i w:val="1"/>
      <w:sz w:val="24"/>
    </w:rPr>
  </w:style>
  <w:style w:styleId="Style_13" w:type="paragraph">
    <w:name w:val="header"/>
    <w:basedOn w:val="Style_4"/>
    <w:link w:val="Style_13_ch"/>
    <w:pPr>
      <w:tabs>
        <w:tab w:leader="none" w:pos="4677" w:val="center"/>
        <w:tab w:leader="none" w:pos="9355" w:val="right"/>
      </w:tabs>
      <w:ind/>
    </w:pPr>
  </w:style>
  <w:style w:styleId="Style_13_ch" w:type="character">
    <w:name w:val="header"/>
    <w:basedOn w:val="Style_4_ch"/>
    <w:link w:val="Style_13"/>
  </w:style>
  <w:style w:styleId="Style_3" w:type="paragraph">
    <w:name w:val="heading 3"/>
    <w:basedOn w:val="Style_4"/>
    <w:next w:val="Style_4"/>
    <w:link w:val="Style_3_ch"/>
    <w:uiPriority w:val="9"/>
    <w:qFormat/>
    <w:pPr>
      <w:keepNext w:val="1"/>
      <w:numPr>
        <w:ilvl w:val="2"/>
        <w:numId w:val="1"/>
      </w:numPr>
      <w:ind/>
      <w:outlineLvl w:val="2"/>
    </w:pPr>
    <w:rPr>
      <w:b w:val="1"/>
      <w:color w:val="000000"/>
      <w:sz w:val="24"/>
    </w:rPr>
  </w:style>
  <w:style w:styleId="Style_3_ch" w:type="character">
    <w:name w:val="heading 3"/>
    <w:basedOn w:val="Style_4_ch"/>
    <w:link w:val="Style_3"/>
    <w:rPr>
      <w:b w:val="1"/>
      <w:color w:val="000000"/>
      <w:sz w:val="24"/>
    </w:rPr>
  </w:style>
  <w:style w:styleId="Style_14" w:type="paragraph">
    <w:name w:val="Знак"/>
    <w:basedOn w:val="Style_4"/>
    <w:link w:val="Style_14_ch"/>
    <w:pPr>
      <w:spacing w:after="160" w:before="0" w:line="240" w:lineRule="exact"/>
      <w:ind/>
    </w:pPr>
    <w:rPr>
      <w:b w:val="1"/>
      <w:sz w:val="28"/>
    </w:rPr>
  </w:style>
  <w:style w:styleId="Style_14_ch" w:type="character">
    <w:name w:val="Знак"/>
    <w:basedOn w:val="Style_4_ch"/>
    <w:link w:val="Style_14"/>
    <w:rPr>
      <w:b w:val="1"/>
      <w:sz w:val="28"/>
    </w:rPr>
  </w:style>
  <w:style w:styleId="Style_15" w:type="paragraph">
    <w:name w:val="Заголовок таблицы"/>
    <w:basedOn w:val="Style_16"/>
    <w:link w:val="Style_15_ch"/>
    <w:pPr>
      <w:ind/>
      <w:jc w:val="center"/>
    </w:pPr>
    <w:rPr>
      <w:b w:val="1"/>
    </w:rPr>
  </w:style>
  <w:style w:styleId="Style_15_ch" w:type="character">
    <w:name w:val="Заголовок таблицы"/>
    <w:basedOn w:val="Style_16_ch"/>
    <w:link w:val="Style_15"/>
    <w:rPr>
      <w:b w:val="1"/>
    </w:rPr>
  </w:style>
  <w:style w:styleId="Style_17" w:type="paragraph">
    <w:name w:val="toc 3"/>
    <w:next w:val="Style_4"/>
    <w:link w:val="Style_1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7_ch" w:type="character">
    <w:name w:val="toc 3"/>
    <w:link w:val="Style_17"/>
    <w:rPr>
      <w:rFonts w:ascii="XO Thames" w:hAnsi="XO Thames"/>
      <w:sz w:val="28"/>
    </w:rPr>
  </w:style>
  <w:style w:styleId="Style_16" w:type="paragraph">
    <w:name w:val="Содержимое таблицы"/>
    <w:basedOn w:val="Style_4"/>
    <w:link w:val="Style_16_ch"/>
  </w:style>
  <w:style w:styleId="Style_16_ch" w:type="character">
    <w:name w:val="Содержимое таблицы"/>
    <w:basedOn w:val="Style_4_ch"/>
    <w:link w:val="Style_16"/>
  </w:style>
  <w:style w:styleId="Style_18" w:type="paragraph">
    <w:name w:val="List"/>
    <w:basedOn w:val="Style_9"/>
    <w:link w:val="Style_18_ch"/>
  </w:style>
  <w:style w:styleId="Style_18_ch" w:type="character">
    <w:name w:val="List"/>
    <w:basedOn w:val="Style_9_ch"/>
    <w:link w:val="Style_18"/>
  </w:style>
  <w:style w:styleId="Style_2" w:type="paragraph">
    <w:name w:val="heading 5"/>
    <w:basedOn w:val="Style_4"/>
    <w:next w:val="Style_4"/>
    <w:link w:val="Style_2_ch"/>
    <w:uiPriority w:val="9"/>
    <w:qFormat/>
    <w:pPr>
      <w:keepNext w:val="1"/>
      <w:numPr>
        <w:ilvl w:val="4"/>
        <w:numId w:val="1"/>
      </w:numPr>
      <w:ind/>
      <w:jc w:val="center"/>
      <w:outlineLvl w:val="4"/>
    </w:pPr>
    <w:rPr>
      <w:b w:val="1"/>
      <w:sz w:val="24"/>
    </w:rPr>
  </w:style>
  <w:style w:styleId="Style_2_ch" w:type="character">
    <w:name w:val="heading 5"/>
    <w:basedOn w:val="Style_4_ch"/>
    <w:link w:val="Style_2"/>
    <w:rPr>
      <w:b w:val="1"/>
      <w:sz w:val="24"/>
    </w:rPr>
  </w:style>
  <w:style w:styleId="Style_19" w:type="paragraph">
    <w:name w:val="heading 1"/>
    <w:basedOn w:val="Style_4"/>
    <w:next w:val="Style_4"/>
    <w:link w:val="Style_19_ch"/>
    <w:uiPriority w:val="9"/>
    <w:qFormat/>
    <w:pPr>
      <w:keepNext w:val="1"/>
      <w:numPr>
        <w:ilvl w:val="0"/>
        <w:numId w:val="1"/>
      </w:numPr>
      <w:spacing w:after="60" w:before="240"/>
      <w:ind/>
      <w:outlineLvl w:val="0"/>
    </w:pPr>
    <w:rPr>
      <w:rFonts w:ascii="Arial" w:hAnsi="Arial"/>
      <w:b w:val="1"/>
      <w:sz w:val="32"/>
    </w:rPr>
  </w:style>
  <w:style w:styleId="Style_19_ch" w:type="character">
    <w:name w:val="heading 1"/>
    <w:basedOn w:val="Style_4_ch"/>
    <w:link w:val="Style_19"/>
    <w:rPr>
      <w:rFonts w:ascii="Arial" w:hAnsi="Arial"/>
      <w:b w:val="1"/>
      <w:sz w:val="32"/>
    </w:rPr>
  </w:style>
  <w:style w:styleId="Style_9" w:type="paragraph">
    <w:name w:val="Body Text"/>
    <w:basedOn w:val="Style_4"/>
    <w:link w:val="Style_9_ch"/>
    <w:pPr>
      <w:spacing w:after="140" w:before="0" w:line="276" w:lineRule="auto"/>
      <w:ind/>
    </w:pPr>
  </w:style>
  <w:style w:styleId="Style_9_ch" w:type="character">
    <w:name w:val="Body Text"/>
    <w:basedOn w:val="Style_4_ch"/>
    <w:link w:val="Style_9"/>
  </w:style>
  <w:style w:styleId="Style_20" w:type="paragraph">
    <w:name w:val="Hyperlink"/>
    <w:link w:val="Style_20_ch"/>
    <w:rPr>
      <w:color w:val="0000FF"/>
      <w:u w:val="single"/>
    </w:rPr>
  </w:style>
  <w:style w:styleId="Style_20_ch" w:type="character">
    <w:name w:val="Hyperlink"/>
    <w:link w:val="Style_20"/>
    <w:rPr>
      <w:color w:val="0000FF"/>
      <w:u w:val="single"/>
    </w:rPr>
  </w:style>
  <w:style w:styleId="Style_21" w:type="paragraph">
    <w:name w:val="Footnote"/>
    <w:link w:val="Style_21_ch"/>
    <w:pPr>
      <w:ind w:firstLine="851" w:left="0"/>
      <w:jc w:val="both"/>
    </w:pPr>
    <w:rPr>
      <w:rFonts w:ascii="XO Thames" w:hAnsi="XO Thames"/>
      <w:sz w:val="22"/>
    </w:rPr>
  </w:style>
  <w:style w:styleId="Style_21_ch" w:type="character">
    <w:name w:val="Footnote"/>
    <w:link w:val="Style_21"/>
    <w:rPr>
      <w:rFonts w:ascii="XO Thames" w:hAnsi="XO Thames"/>
      <w:sz w:val="22"/>
    </w:rPr>
  </w:style>
  <w:style w:styleId="Style_22" w:type="paragraph">
    <w:name w:val="toc 1"/>
    <w:next w:val="Style_4"/>
    <w:link w:val="Style_2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23" w:type="paragraph">
    <w:name w:val="Balloon Text"/>
    <w:basedOn w:val="Style_4"/>
    <w:link w:val="Style_23_ch"/>
    <w:rPr>
      <w:rFonts w:ascii="Tahoma" w:hAnsi="Tahoma"/>
      <w:sz w:val="16"/>
    </w:rPr>
  </w:style>
  <w:style w:styleId="Style_23_ch" w:type="character">
    <w:name w:val="Balloon Text"/>
    <w:basedOn w:val="Style_4_ch"/>
    <w:link w:val="Style_23"/>
    <w:rPr>
      <w:rFonts w:ascii="Tahoma" w:hAnsi="Tahoma"/>
      <w:sz w:val="16"/>
    </w:rPr>
  </w:style>
  <w:style w:styleId="Style_24" w:type="paragraph">
    <w:name w:val="Header and Footer"/>
    <w:link w:val="Style_24_ch"/>
    <w:pPr>
      <w:spacing w:line="240" w:lineRule="auto"/>
      <w:ind/>
      <w:jc w:val="both"/>
    </w:pPr>
    <w:rPr>
      <w:rFonts w:ascii="XO Thames" w:hAnsi="XO Thames"/>
      <w:sz w:val="20"/>
    </w:rPr>
  </w:style>
  <w:style w:styleId="Style_24_ch" w:type="character">
    <w:name w:val="Header and Footer"/>
    <w:link w:val="Style_24"/>
    <w:rPr>
      <w:rFonts w:ascii="XO Thames" w:hAnsi="XO Thames"/>
      <w:sz w:val="20"/>
    </w:rPr>
  </w:style>
  <w:style w:styleId="Style_25" w:type="paragraph">
    <w:name w:val="toc 9"/>
    <w:next w:val="Style_4"/>
    <w:link w:val="Style_2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5_ch" w:type="character">
    <w:name w:val="toc 9"/>
    <w:link w:val="Style_25"/>
    <w:rPr>
      <w:rFonts w:ascii="XO Thames" w:hAnsi="XO Thames"/>
      <w:sz w:val="28"/>
    </w:rPr>
  </w:style>
  <w:style w:styleId="Style_26" w:type="paragraph">
    <w:name w:val="toc 8"/>
    <w:next w:val="Style_4"/>
    <w:link w:val="Style_2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6_ch" w:type="character">
    <w:name w:val="toc 8"/>
    <w:link w:val="Style_26"/>
    <w:rPr>
      <w:rFonts w:ascii="XO Thames" w:hAnsi="XO Thames"/>
      <w:sz w:val="28"/>
    </w:rPr>
  </w:style>
  <w:style w:styleId="Style_27" w:type="paragraph">
    <w:name w:val="toc 5"/>
    <w:next w:val="Style_4"/>
    <w:link w:val="Style_2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7_ch" w:type="character">
    <w:name w:val="toc 5"/>
    <w:link w:val="Style_27"/>
    <w:rPr>
      <w:rFonts w:ascii="XO Thames" w:hAnsi="XO Thames"/>
      <w:sz w:val="28"/>
    </w:rPr>
  </w:style>
  <w:style w:styleId="Style_28" w:type="paragraph">
    <w:name w:val="footer"/>
    <w:basedOn w:val="Style_4"/>
    <w:link w:val="Style_28_ch"/>
    <w:pPr>
      <w:tabs>
        <w:tab w:leader="none" w:pos="4677" w:val="center"/>
        <w:tab w:leader="none" w:pos="9355" w:val="right"/>
      </w:tabs>
      <w:ind/>
    </w:pPr>
  </w:style>
  <w:style w:styleId="Style_28_ch" w:type="character">
    <w:name w:val="footer"/>
    <w:basedOn w:val="Style_4_ch"/>
    <w:link w:val="Style_28"/>
  </w:style>
  <w:style w:styleId="Style_29" w:type="paragraph">
    <w:name w:val="Основной шрифт абзаца1"/>
    <w:link w:val="Style_29_ch"/>
  </w:style>
  <w:style w:styleId="Style_29_ch" w:type="character">
    <w:name w:val="Основной шрифт абзаца1"/>
    <w:link w:val="Style_29"/>
  </w:style>
  <w:style w:styleId="Style_30" w:type="paragraph">
    <w:name w:val="Subtitle"/>
    <w:next w:val="Style_4"/>
    <w:link w:val="Style_3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0_ch" w:type="character">
    <w:name w:val="Subtitle"/>
    <w:link w:val="Style_30"/>
    <w:rPr>
      <w:rFonts w:ascii="XO Thames" w:hAnsi="XO Thames"/>
      <w:i w:val="1"/>
      <w:sz w:val="24"/>
    </w:rPr>
  </w:style>
  <w:style w:styleId="Style_31" w:type="paragraph">
    <w:name w:val="Title"/>
    <w:next w:val="Style_4"/>
    <w:link w:val="Style_3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1_ch" w:type="character">
    <w:name w:val="Title"/>
    <w:link w:val="Style_31"/>
    <w:rPr>
      <w:rFonts w:ascii="XO Thames" w:hAnsi="XO Thames"/>
      <w:b w:val="1"/>
      <w:caps w:val="1"/>
      <w:sz w:val="40"/>
    </w:rPr>
  </w:style>
  <w:style w:styleId="Style_32" w:type="paragraph">
    <w:name w:val="heading 4"/>
    <w:basedOn w:val="Style_4"/>
    <w:next w:val="Style_4"/>
    <w:link w:val="Style_32_ch"/>
    <w:uiPriority w:val="9"/>
    <w:qFormat/>
    <w:pPr>
      <w:keepNext w:val="1"/>
      <w:numPr>
        <w:ilvl w:val="3"/>
        <w:numId w:val="1"/>
      </w:numPr>
      <w:ind/>
      <w:outlineLvl w:val="3"/>
    </w:pPr>
    <w:rPr>
      <w:b w:val="1"/>
      <w:sz w:val="28"/>
    </w:rPr>
  </w:style>
  <w:style w:styleId="Style_32_ch" w:type="character">
    <w:name w:val="heading 4"/>
    <w:basedOn w:val="Style_4_ch"/>
    <w:link w:val="Style_32"/>
    <w:rPr>
      <w:b w:val="1"/>
      <w:sz w:val="28"/>
    </w:rPr>
  </w:style>
  <w:style w:styleId="Style_33" w:type="paragraph">
    <w:name w:val="Default Paragraph Font"/>
    <w:link w:val="Style_33_ch"/>
  </w:style>
  <w:style w:styleId="Style_33_ch" w:type="character">
    <w:name w:val="Default Paragraph Font"/>
    <w:link w:val="Style_33"/>
  </w:style>
  <w:style w:styleId="Style_34" w:type="paragraph">
    <w:name w:val="Указатель1"/>
    <w:basedOn w:val="Style_4"/>
    <w:link w:val="Style_34_ch"/>
  </w:style>
  <w:style w:styleId="Style_34_ch" w:type="character">
    <w:name w:val="Указатель1"/>
    <w:basedOn w:val="Style_4_ch"/>
    <w:link w:val="Style_34"/>
  </w:style>
  <w:style w:styleId="Style_35" w:type="paragraph">
    <w:name w:val="heading 2"/>
    <w:next w:val="Style_4"/>
    <w:link w:val="Style_3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5_ch" w:type="character">
    <w:name w:val="heading 2"/>
    <w:link w:val="Style_35"/>
    <w:rPr>
      <w:rFonts w:ascii="XO Thames" w:hAnsi="XO Thames"/>
      <w:b w:val="1"/>
      <w:sz w:val="28"/>
    </w:rPr>
  </w:style>
  <w:style w:styleId="Style_36" w:type="paragraph">
    <w:name w:val="heading 6"/>
    <w:basedOn w:val="Style_4"/>
    <w:next w:val="Style_4"/>
    <w:link w:val="Style_36_ch"/>
    <w:uiPriority w:val="9"/>
    <w:qFormat/>
    <w:pPr>
      <w:keepNext w:val="1"/>
      <w:numPr>
        <w:ilvl w:val="5"/>
        <w:numId w:val="1"/>
      </w:numPr>
      <w:ind/>
      <w:jc w:val="both"/>
      <w:outlineLvl w:val="5"/>
    </w:pPr>
    <w:rPr>
      <w:b w:val="1"/>
      <w:color w:val="000000"/>
      <w:sz w:val="28"/>
    </w:rPr>
  </w:style>
  <w:style w:styleId="Style_36_ch" w:type="character">
    <w:name w:val="heading 6"/>
    <w:basedOn w:val="Style_4_ch"/>
    <w:link w:val="Style_36"/>
    <w:rPr>
      <w:b w:val="1"/>
      <w:color w:val="000000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2023-05-11T08:13:28Z</dcterms:modified>
</cp:coreProperties>
</file>