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от </w:t>
      </w:r>
      <w:r>
        <w:rPr>
          <w:rFonts w:ascii="Times New Roman" w:hAnsi="Times New Roman"/>
          <w:b w:val="1"/>
          <w:sz w:val="28"/>
        </w:rPr>
        <w:t>10.07</w:t>
      </w:r>
      <w:r>
        <w:rPr>
          <w:rFonts w:ascii="Times New Roman" w:hAnsi="Times New Roman"/>
          <w:b w:val="1"/>
          <w:sz w:val="28"/>
        </w:rPr>
        <w:t>.202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г. </w:t>
      </w:r>
      <w:r>
        <w:rPr>
          <w:rFonts w:ascii="Times New Roman" w:hAnsi="Times New Roman"/>
          <w:b w:val="1"/>
          <w:sz w:val="28"/>
        </w:rPr>
        <w:t xml:space="preserve">к решению Собрания депутатов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сельского поселения Азовского района «О внесении изменений и дополнений в решение Собрания депутатов «О бюджете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на 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год и на плановый период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и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годов» №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24 </w:t>
      </w:r>
      <w:r>
        <w:rPr>
          <w:rFonts w:ascii="Times New Roman" w:hAnsi="Times New Roman"/>
          <w:b w:val="1"/>
          <w:sz w:val="28"/>
        </w:rPr>
        <w:t>от 26</w:t>
      </w:r>
      <w:r>
        <w:rPr>
          <w:rFonts w:ascii="Times New Roman" w:hAnsi="Times New Roman"/>
          <w:b w:val="1"/>
          <w:sz w:val="28"/>
        </w:rPr>
        <w:t>.12.202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предусмотрено изменение основных характеристик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год, а именно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расходн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часть </w:t>
      </w:r>
      <w:r>
        <w:rPr>
          <w:rFonts w:ascii="Times New Roman" w:hAnsi="Times New Roman"/>
          <w:sz w:val="28"/>
        </w:rPr>
        <w:t xml:space="preserve">увеличилась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408,6</w:t>
      </w:r>
      <w:r>
        <w:rPr>
          <w:rFonts w:ascii="Times New Roman" w:hAnsi="Times New Roman"/>
          <w:sz w:val="28"/>
        </w:rPr>
        <w:t xml:space="preserve"> тыс. руб.</w:t>
      </w:r>
      <w:r>
        <w:rPr>
          <w:rFonts w:ascii="Times New Roman" w:hAnsi="Times New Roman"/>
          <w:sz w:val="28"/>
        </w:rPr>
        <w:t xml:space="preserve"> за счет вовлечения нецелевых остатков сложившихся по состоянию на 01.01.20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г  .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</w:t>
      </w:r>
      <w:r>
        <w:rPr>
          <w:rFonts w:ascii="Times New Roman" w:hAnsi="Times New Roman"/>
          <w:sz w:val="28"/>
        </w:rPr>
        <w:t xml:space="preserve">т 4344,60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43"/>
        <w:gridCol w:w="2603"/>
        <w:gridCol w:w="1838"/>
        <w:gridCol w:w="2459"/>
        <w:gridCol w:w="1638"/>
      </w:tblGrid>
      <w:tr>
        <w:trPr>
          <w:trHeight w:hRule="atLeast" w:val="1291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№24</w:t>
            </w:r>
            <w:r>
              <w:rPr>
                <w:rFonts w:ascii="Times New Roman" w:hAnsi="Times New Roman"/>
                <w:sz w:val="28"/>
              </w:rPr>
              <w:t xml:space="preserve"> от 26</w:t>
            </w:r>
            <w:r>
              <w:rPr>
                <w:rFonts w:ascii="Times New Roman" w:hAnsi="Times New Roman"/>
                <w:sz w:val="28"/>
              </w:rPr>
              <w:t>.12.202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Уточненный бюджет на 01.07.2023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о </w:t>
            </w:r>
            <w:r>
              <w:rPr>
                <w:rFonts w:ascii="Times New Roman" w:hAnsi="Times New Roman"/>
                <w:sz w:val="28"/>
              </w:rPr>
              <w:t xml:space="preserve">внесении изменений в </w:t>
            </w:r>
            <w:r>
              <w:rPr>
                <w:rFonts w:ascii="Times New Roman" w:hAnsi="Times New Roman"/>
                <w:sz w:val="28"/>
              </w:rPr>
              <w:t xml:space="preserve">бюджет от </w:t>
            </w:r>
            <w:r>
              <w:rPr>
                <w:rFonts w:ascii="Times New Roman" w:hAnsi="Times New Roman"/>
                <w:sz w:val="28"/>
              </w:rPr>
              <w:t>__.07</w:t>
            </w:r>
            <w:r>
              <w:rPr>
                <w:rFonts w:ascii="Times New Roman" w:hAnsi="Times New Roman"/>
                <w:sz w:val="28"/>
              </w:rPr>
              <w:t>.202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72678,9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72678,9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>
        <w:trPr>
          <w:trHeight w:hRule="atLeast" w:val="430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76614,9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77023,5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408,6</w:t>
            </w:r>
          </w:p>
        </w:tc>
      </w:tr>
      <w:t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3936,0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4344,6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408,6</w:t>
            </w:r>
          </w:p>
        </w:tc>
      </w:tr>
    </w:tbl>
    <w:p w14:paraId="1E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20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>Изменение доходной части бюджета не предусмотрено.</w:t>
      </w:r>
    </w:p>
    <w:p w14:paraId="21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</w:t>
      </w:r>
    </w:p>
    <w:p w14:paraId="22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2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сумм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расходов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увелич</w:t>
      </w:r>
      <w:r>
        <w:rPr>
          <w:rFonts w:ascii="Times New Roman" w:hAnsi="Times New Roman"/>
          <w:sz w:val="28"/>
        </w:rPr>
        <w:t>ена</w:t>
      </w:r>
      <w:r>
        <w:rPr>
          <w:rFonts w:ascii="Times New Roman" w:hAnsi="Times New Roman"/>
          <w:sz w:val="28"/>
        </w:rPr>
        <w:t xml:space="preserve"> на 408,6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лей</w:t>
      </w:r>
    </w:p>
    <w:p w14:paraId="24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     + </w:t>
      </w:r>
      <w:r>
        <w:rPr>
          <w:rFonts w:ascii="Times New Roman" w:hAnsi="Times New Roman"/>
          <w:b w:val="0"/>
          <w:color w:val="22272F"/>
          <w:sz w:val="28"/>
          <w:highlight w:val="white"/>
        </w:rPr>
        <w:t>115,0 тыс.руб – отлов безнадзорных животных</w:t>
      </w:r>
    </w:p>
    <w:p w14:paraId="25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 + 243,0 тыс.руб – покос сорной растительности ( расчет прилагается);</w:t>
      </w:r>
    </w:p>
    <w:p w14:paraId="26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 + 50,6 тыс.руб – Услуги по проведению электронного аукциона в кол   2 шт (закупка пожарного оборудования разделена на 3 аукциона).</w:t>
      </w:r>
    </w:p>
    <w:p w14:paraId="2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A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2B000000">
      <w:pPr>
        <w:spacing w:after="0" w:line="240" w:lineRule="auto"/>
        <w:ind w:firstLine="0" w:left="900"/>
        <w:rPr>
          <w:rFonts w:ascii="Times New Roman" w:hAnsi="Times New Roman"/>
          <w:b w:val="1"/>
          <w:sz w:val="28"/>
        </w:rPr>
      </w:pPr>
    </w:p>
    <w:p w14:paraId="2C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Остатки собственных средств на 01.01.2023 года составили 7257,8 тыс.рублей.</w:t>
      </w:r>
    </w:p>
    <w:p w14:paraId="2D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увеличения дефицита местного бюджета на 408,6  тыс.рублей. Дефицита бюджета с учетом изменений составит 4344,6  тыс. рублей. Источники финансирования дефицита бюджета -  остатки собственных средств на 01.01.2023 года</w:t>
      </w:r>
    </w:p>
    <w:p w14:paraId="2E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Молявка</w:t>
      </w: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s_1"/>
    <w:basedOn w:val="Style_2"/>
    <w:link w:val="Style_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_ch" w:type="character">
    <w:name w:val="s_1"/>
    <w:basedOn w:val="Style_2_ch"/>
    <w:link w:val="Style_14"/>
    <w:rPr>
      <w:rFonts w:ascii="Times New Roman" w:hAnsi="Times New Roman"/>
      <w:sz w:val="24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Balloon Text"/>
    <w:basedOn w:val="Style_2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2_ch"/>
    <w:link w:val="Style_23"/>
    <w:rPr>
      <w:rFonts w:ascii="Tahoma" w:hAnsi="Tahoma"/>
      <w:sz w:val="16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paragraph">
    <w:name w:val="Emphasis"/>
    <w:link w:val="Style_25_ch"/>
    <w:rPr>
      <w:i w:val="1"/>
    </w:rPr>
  </w:style>
  <w:style w:styleId="Style_25_ch" w:type="character">
    <w:name w:val="Emphasis"/>
    <w:link w:val="Style_25"/>
    <w:rPr>
      <w:i w:val="1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2023-07-07T11:03:27Z</dcterms:modified>
</cp:coreProperties>
</file>