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2.xml"/>
  <Override ContentType="application/vnd.openxmlformats-officedocument.wordprocessingml.header+xml" PartName="/word/header1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3" Target="docProps/core.xml" Type="http://schemas.openxmlformats.org/package/2006/relationships/metadata/core-properties"/>
  <Relationship Id="rId2" Target="docProps/app.xml" Type="http://schemas.openxmlformats.org/officeDocument/2006/relationships/extended-properties"/>
  <Relationship Id="rId1" Target="word/document.xml" Type="http://schemas.openxmlformats.org/officeDocument/2006/relationships/officeDocument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3000000">
      <w:pPr>
        <w:spacing w:after="15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Пояснительная записка</w:t>
      </w:r>
    </w:p>
    <w:p w14:paraId="04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от 25</w:t>
      </w:r>
      <w:r>
        <w:rPr>
          <w:rFonts w:ascii="Times New Roman" w:hAnsi="Times New Roman"/>
          <w:b w:val="1"/>
          <w:sz w:val="28"/>
        </w:rPr>
        <w:t>.07</w:t>
      </w:r>
      <w:r>
        <w:rPr>
          <w:rFonts w:ascii="Times New Roman" w:hAnsi="Times New Roman"/>
          <w:b w:val="1"/>
          <w:sz w:val="28"/>
        </w:rPr>
        <w:t>.202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г. </w:t>
      </w:r>
      <w:r>
        <w:rPr>
          <w:rFonts w:ascii="Times New Roman" w:hAnsi="Times New Roman"/>
          <w:b w:val="1"/>
          <w:sz w:val="28"/>
        </w:rPr>
        <w:t xml:space="preserve">к решению Собрания депутатов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сельского поселения Азовского района «О внесении изменений и дополнений в решение Собрания депутатов «О бюджете </w:t>
      </w:r>
      <w:r>
        <w:rPr>
          <w:rFonts w:ascii="Times New Roman" w:hAnsi="Times New Roman"/>
          <w:b w:val="1"/>
          <w:sz w:val="28"/>
        </w:rPr>
        <w:t>Елизаветинского</w:t>
      </w:r>
      <w:r>
        <w:rPr>
          <w:rFonts w:ascii="Times New Roman" w:hAnsi="Times New Roman"/>
          <w:b w:val="1"/>
          <w:sz w:val="28"/>
        </w:rPr>
        <w:t xml:space="preserve"> сельского поселения Азовского района на 202</w:t>
      </w:r>
      <w:r>
        <w:rPr>
          <w:rFonts w:ascii="Times New Roman" w:hAnsi="Times New Roman"/>
          <w:b w:val="1"/>
          <w:sz w:val="28"/>
        </w:rPr>
        <w:t>3</w:t>
      </w:r>
      <w:r>
        <w:rPr>
          <w:rFonts w:ascii="Times New Roman" w:hAnsi="Times New Roman"/>
          <w:b w:val="1"/>
          <w:sz w:val="28"/>
        </w:rPr>
        <w:t xml:space="preserve"> год и на плановый период 202</w:t>
      </w:r>
      <w:r>
        <w:rPr>
          <w:rFonts w:ascii="Times New Roman" w:hAnsi="Times New Roman"/>
          <w:b w:val="1"/>
          <w:sz w:val="28"/>
        </w:rPr>
        <w:t>4</w:t>
      </w:r>
      <w:r>
        <w:rPr>
          <w:rFonts w:ascii="Times New Roman" w:hAnsi="Times New Roman"/>
          <w:b w:val="1"/>
          <w:sz w:val="28"/>
        </w:rPr>
        <w:t xml:space="preserve"> и 202</w:t>
      </w:r>
      <w:r>
        <w:rPr>
          <w:rFonts w:ascii="Times New Roman" w:hAnsi="Times New Roman"/>
          <w:b w:val="1"/>
          <w:sz w:val="28"/>
        </w:rPr>
        <w:t>5</w:t>
      </w:r>
      <w:r>
        <w:rPr>
          <w:rFonts w:ascii="Times New Roman" w:hAnsi="Times New Roman"/>
          <w:b w:val="1"/>
          <w:sz w:val="28"/>
        </w:rPr>
        <w:t xml:space="preserve"> годов» №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1"/>
          <w:sz w:val="28"/>
        </w:rPr>
        <w:t xml:space="preserve">24 </w:t>
      </w:r>
      <w:r>
        <w:rPr>
          <w:rFonts w:ascii="Times New Roman" w:hAnsi="Times New Roman"/>
          <w:b w:val="1"/>
          <w:sz w:val="28"/>
        </w:rPr>
        <w:t>от 26</w:t>
      </w:r>
      <w:r>
        <w:rPr>
          <w:rFonts w:ascii="Times New Roman" w:hAnsi="Times New Roman"/>
          <w:b w:val="1"/>
          <w:sz w:val="28"/>
        </w:rPr>
        <w:t>.12.202</w:t>
      </w:r>
      <w:r>
        <w:rPr>
          <w:rFonts w:ascii="Times New Roman" w:hAnsi="Times New Roman"/>
          <w:b w:val="1"/>
          <w:sz w:val="28"/>
        </w:rPr>
        <w:t>2</w:t>
      </w:r>
      <w:r>
        <w:rPr>
          <w:rFonts w:ascii="Times New Roman" w:hAnsi="Times New Roman"/>
          <w:b w:val="1"/>
          <w:sz w:val="28"/>
        </w:rPr>
        <w:t xml:space="preserve"> г</w:t>
      </w:r>
    </w:p>
    <w:p w14:paraId="05000000">
      <w:pPr>
        <w:spacing w:after="0"/>
        <w:ind w:firstLine="567" w:left="0"/>
        <w:jc w:val="center"/>
        <w:rPr>
          <w:rFonts w:ascii="Times New Roman" w:hAnsi="Times New Roman"/>
          <w:b w:val="1"/>
          <w:sz w:val="28"/>
        </w:rPr>
      </w:pPr>
    </w:p>
    <w:p w14:paraId="06000000">
      <w:pPr>
        <w:numPr>
          <w:ilvl w:val="0"/>
          <w:numId w:val="1"/>
        </w:numPr>
        <w:spacing w:after="0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Общая характеристика изменений</w:t>
      </w:r>
    </w:p>
    <w:p w14:paraId="07000000">
      <w:pPr>
        <w:spacing w:after="0" w:line="240" w:lineRule="auto"/>
        <w:ind w:firstLine="567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Решением </w:t>
      </w:r>
      <w:r>
        <w:rPr>
          <w:rFonts w:ascii="Times New Roman" w:hAnsi="Times New Roman"/>
          <w:sz w:val="28"/>
        </w:rPr>
        <w:t>предусмотрено изменение основных характеристик бюджета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год, а именно</w:t>
      </w:r>
      <w:r>
        <w:rPr>
          <w:rFonts w:ascii="Times New Roman" w:hAnsi="Times New Roman"/>
          <w:sz w:val="28"/>
        </w:rPr>
        <w:t>,</w:t>
      </w:r>
      <w:r>
        <w:rPr>
          <w:rFonts w:ascii="Times New Roman" w:hAnsi="Times New Roman"/>
          <w:sz w:val="28"/>
        </w:rPr>
        <w:t xml:space="preserve"> расходн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часть </w:t>
      </w:r>
      <w:r>
        <w:rPr>
          <w:rFonts w:ascii="Times New Roman" w:hAnsi="Times New Roman"/>
          <w:sz w:val="28"/>
        </w:rPr>
        <w:t xml:space="preserve">увеличилась </w:t>
      </w:r>
      <w:r>
        <w:rPr>
          <w:rFonts w:ascii="Times New Roman" w:hAnsi="Times New Roman"/>
          <w:sz w:val="28"/>
        </w:rPr>
        <w:t>на 418,4</w:t>
      </w:r>
      <w:r>
        <w:rPr>
          <w:rFonts w:ascii="Times New Roman" w:hAnsi="Times New Roman"/>
          <w:sz w:val="28"/>
        </w:rPr>
        <w:t xml:space="preserve"> тыс. руб., 310,00 тыс. руб. </w:t>
      </w:r>
      <w:r>
        <w:rPr>
          <w:rFonts w:ascii="Times New Roman" w:hAnsi="Times New Roman"/>
          <w:sz w:val="28"/>
        </w:rPr>
        <w:t>за счет вовлечения нецелевых остатков сложившихся по состоянию на 01.01.20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>г, 108,4 тыс.руб за счет средств резервного фонда Правительства Ростовской области .</w:t>
      </w:r>
      <w:r>
        <w:rPr>
          <w:rFonts w:ascii="Times New Roman" w:hAnsi="Times New Roman"/>
          <w:sz w:val="28"/>
        </w:rPr>
        <w:t xml:space="preserve"> С учетом предлагаемых изменений дефицит бюджета состави</w:t>
      </w:r>
      <w:r>
        <w:rPr>
          <w:rFonts w:ascii="Times New Roman" w:hAnsi="Times New Roman"/>
          <w:sz w:val="28"/>
        </w:rPr>
        <w:t xml:space="preserve">т 4654,60 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тыс.руб.</w:t>
      </w:r>
    </w:p>
    <w:p w14:paraId="08000000">
      <w:pPr>
        <w:spacing w:after="0" w:line="240" w:lineRule="auto"/>
        <w:ind w:firstLine="709" w:left="0"/>
        <w:jc w:val="both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Динамика изменения основных характеристик бюджета района приведены в таблице.</w:t>
      </w:r>
    </w:p>
    <w:p w14:paraId="09000000">
      <w:pPr>
        <w:spacing w:after="0" w:line="240" w:lineRule="auto"/>
        <w:ind w:firstLine="709" w:left="0"/>
        <w:jc w:val="right"/>
        <w:outlineLvl w:val="3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тыс. руб.</w:t>
      </w:r>
    </w:p>
    <w:tbl>
      <w:tblPr>
        <w:tblStyle w:val="Style_1"/>
        <w:tblInd w:type="dxa" w:w="-1026"/>
        <w:tblBorders>
          <w:top w:color="000000" w:sz="4" w:val="single"/>
          <w:left w:color="000000" w:sz="4" w:val="single"/>
          <w:bottom w:color="000000" w:sz="4" w:val="single"/>
          <w:right w:color="000000" w:sz="4" w:val="single"/>
          <w:insideH w:color="000000" w:sz="4" w:val="single"/>
          <w:insideV w:color="000000" w:sz="4" w:val="single"/>
        </w:tblBorders>
        <w:tblLayout w:type="fixed"/>
      </w:tblPr>
      <w:tblGrid>
        <w:gridCol w:w="1843"/>
        <w:gridCol w:w="2603"/>
        <w:gridCol w:w="1838"/>
        <w:gridCol w:w="2459"/>
        <w:gridCol w:w="1638"/>
      </w:tblGrid>
      <w:tr>
        <w:trPr>
          <w:trHeight w:hRule="atLeast" w:val="1291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A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Решение о бюджете №24</w:t>
            </w:r>
            <w:r>
              <w:rPr>
                <w:rFonts w:ascii="Times New Roman" w:hAnsi="Times New Roman"/>
                <w:sz w:val="28"/>
              </w:rPr>
              <w:t xml:space="preserve"> от 26</w:t>
            </w:r>
            <w:r>
              <w:rPr>
                <w:rFonts w:ascii="Times New Roman" w:hAnsi="Times New Roman"/>
                <w:sz w:val="28"/>
              </w:rPr>
              <w:t>.12.202</w:t>
            </w:r>
            <w:r>
              <w:rPr>
                <w:rFonts w:ascii="Times New Roman" w:hAnsi="Times New Roman"/>
                <w:sz w:val="28"/>
              </w:rPr>
              <w:t>2</w:t>
            </w:r>
            <w:r>
              <w:rPr>
                <w:rFonts w:ascii="Times New Roman" w:hAnsi="Times New Roman"/>
                <w:sz w:val="28"/>
              </w:rPr>
              <w:t>г.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C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Уточненный бюджет на 01.09.2023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D000000">
            <w:pPr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Проект решени</w:t>
            </w:r>
            <w:r>
              <w:rPr>
                <w:rFonts w:ascii="Times New Roman" w:hAnsi="Times New Roman"/>
                <w:sz w:val="28"/>
              </w:rPr>
              <w:t>я</w:t>
            </w:r>
            <w:r>
              <w:rPr>
                <w:rFonts w:ascii="Times New Roman" w:hAnsi="Times New Roman"/>
                <w:sz w:val="28"/>
              </w:rPr>
              <w:t xml:space="preserve"> о </w:t>
            </w:r>
            <w:r>
              <w:rPr>
                <w:rFonts w:ascii="Times New Roman" w:hAnsi="Times New Roman"/>
                <w:sz w:val="28"/>
              </w:rPr>
              <w:t xml:space="preserve">внесении изменений в </w:t>
            </w:r>
            <w:r>
              <w:rPr>
                <w:rFonts w:ascii="Times New Roman" w:hAnsi="Times New Roman"/>
                <w:sz w:val="28"/>
              </w:rPr>
              <w:t xml:space="preserve">бюджет от </w:t>
            </w:r>
            <w:r>
              <w:rPr>
                <w:rFonts w:ascii="Times New Roman" w:hAnsi="Times New Roman"/>
                <w:sz w:val="28"/>
              </w:rPr>
              <w:t>__.09</w:t>
            </w:r>
            <w:r>
              <w:rPr>
                <w:rFonts w:ascii="Times New Roman" w:hAnsi="Times New Roman"/>
                <w:sz w:val="28"/>
              </w:rPr>
              <w:t>.202</w:t>
            </w:r>
            <w:r>
              <w:rPr>
                <w:rFonts w:ascii="Times New Roman" w:hAnsi="Times New Roman"/>
                <w:sz w:val="28"/>
              </w:rPr>
              <w:t>3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E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Изменения</w:t>
            </w:r>
          </w:p>
        </w:tc>
      </w:tr>
      <w:tr>
        <w:trPr>
          <w:trHeight w:hRule="atLeast" w:val="308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0F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Доходы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0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15066,9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1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72678,9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2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72787,3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3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108,4</w:t>
            </w:r>
          </w:p>
        </w:tc>
      </w:tr>
      <w:tr>
        <w:trPr>
          <w:trHeight w:hRule="atLeast" w:val="430"/>
        </w:trP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4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Расходы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5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15066,9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6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77023,5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7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77441,9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8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418,4</w:t>
            </w:r>
          </w:p>
        </w:tc>
      </w:tr>
      <w:tr>
        <w:tc>
          <w:tcPr>
            <w:tcW w:type="dxa" w:w="184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9000000">
            <w:pPr>
              <w:spacing w:after="0"/>
              <w:ind/>
              <w:jc w:val="both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Дефицит</w:t>
            </w:r>
          </w:p>
        </w:tc>
        <w:tc>
          <w:tcPr>
            <w:tcW w:type="dxa" w:w="2603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A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0,0</w:t>
            </w:r>
          </w:p>
        </w:tc>
        <w:tc>
          <w:tcPr>
            <w:tcW w:type="dxa" w:w="18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B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4344,6</w:t>
            </w:r>
          </w:p>
        </w:tc>
        <w:tc>
          <w:tcPr>
            <w:tcW w:type="dxa" w:w="2459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C000000">
            <w:pPr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4654,6</w:t>
            </w:r>
          </w:p>
        </w:tc>
        <w:tc>
          <w:tcPr>
            <w:tcW w:type="dxa" w:w="1638"/>
            <w:tcBorders>
              <w:top w:color="000000" w:sz="4" w:val="single"/>
              <w:left w:color="000000" w:sz="4" w:val="single"/>
              <w:bottom w:color="000000" w:sz="4" w:val="single"/>
              <w:right w:color="000000" w:sz="4" w:val="single"/>
            </w:tcBorders>
          </w:tcPr>
          <w:p w14:paraId="1D000000">
            <w:pPr>
              <w:spacing w:after="0"/>
              <w:ind/>
              <w:jc w:val="center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310,0</w:t>
            </w:r>
          </w:p>
        </w:tc>
      </w:tr>
    </w:tbl>
    <w:p w14:paraId="1E000000">
      <w:pPr>
        <w:spacing w:after="0" w:line="240" w:lineRule="auto"/>
        <w:ind/>
        <w:jc w:val="both"/>
        <w:outlineLvl w:val="3"/>
        <w:rPr>
          <w:rFonts w:ascii="Times New Roman" w:hAnsi="Times New Roman"/>
          <w:sz w:val="28"/>
        </w:rPr>
      </w:pPr>
    </w:p>
    <w:p w14:paraId="1F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доходной части бюджета</w:t>
      </w:r>
    </w:p>
    <w:p w14:paraId="20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1"/>
          <w:sz w:val="28"/>
        </w:rPr>
        <w:t xml:space="preserve">    </w:t>
      </w:r>
      <w:r>
        <w:rPr>
          <w:rFonts w:ascii="Times New Roman" w:hAnsi="Times New Roman"/>
          <w:b w:val="0"/>
          <w:sz w:val="28"/>
        </w:rPr>
        <w:t>Изменение доходной части бюджета предусмотрено за счет средств в размере 108,4 тыс.руб выделенных из резервного фонда  Правительства РО, на приобретение оборудования для учреждения культуры.</w:t>
      </w:r>
    </w:p>
    <w:p w14:paraId="21000000">
      <w:pPr>
        <w:spacing w:after="0" w:line="240" w:lineRule="auto"/>
        <w:ind/>
        <w:contextualSpacing w:val="1"/>
        <w:jc w:val="left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  </w:t>
      </w:r>
    </w:p>
    <w:p w14:paraId="22000000">
      <w:pPr>
        <w:numPr>
          <w:ilvl w:val="0"/>
          <w:numId w:val="1"/>
        </w:numPr>
        <w:spacing w:after="0" w:line="240" w:lineRule="auto"/>
        <w:ind/>
        <w:contextualSpacing w:val="1"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Изменения расходной части бюджета</w:t>
      </w:r>
    </w:p>
    <w:p w14:paraId="23000000">
      <w:pPr>
        <w:spacing w:after="0" w:line="240" w:lineRule="auto"/>
        <w:ind w:firstLine="709" w:left="0"/>
        <w:contextualSpacing w:val="1"/>
        <w:jc w:val="both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sz w:val="28"/>
        </w:rPr>
        <w:t>Общ</w:t>
      </w:r>
      <w:r>
        <w:rPr>
          <w:rFonts w:ascii="Times New Roman" w:hAnsi="Times New Roman"/>
          <w:sz w:val="28"/>
        </w:rPr>
        <w:t>ая</w:t>
      </w:r>
      <w:r>
        <w:rPr>
          <w:rFonts w:ascii="Times New Roman" w:hAnsi="Times New Roman"/>
          <w:sz w:val="28"/>
        </w:rPr>
        <w:t xml:space="preserve"> сумм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расходов бюджета на 20</w:t>
      </w:r>
      <w:r>
        <w:rPr>
          <w:rFonts w:ascii="Times New Roman" w:hAnsi="Times New Roman"/>
          <w:sz w:val="28"/>
        </w:rPr>
        <w:t>2</w:t>
      </w:r>
      <w:r>
        <w:rPr>
          <w:rFonts w:ascii="Times New Roman" w:hAnsi="Times New Roman"/>
          <w:sz w:val="28"/>
        </w:rPr>
        <w:t>3</w:t>
      </w:r>
      <w:r>
        <w:rPr>
          <w:rFonts w:ascii="Times New Roman" w:hAnsi="Times New Roman"/>
          <w:sz w:val="28"/>
        </w:rPr>
        <w:t xml:space="preserve"> год увелич</w:t>
      </w:r>
      <w:r>
        <w:rPr>
          <w:rFonts w:ascii="Times New Roman" w:hAnsi="Times New Roman"/>
          <w:sz w:val="28"/>
        </w:rPr>
        <w:t>ена</w:t>
      </w:r>
      <w:r>
        <w:rPr>
          <w:rFonts w:ascii="Times New Roman" w:hAnsi="Times New Roman"/>
          <w:sz w:val="28"/>
        </w:rPr>
        <w:t xml:space="preserve"> на 418,4</w:t>
      </w:r>
      <w:r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тыс. руб</w:t>
      </w:r>
      <w:r>
        <w:rPr>
          <w:rFonts w:ascii="Times New Roman" w:hAnsi="Times New Roman"/>
          <w:sz w:val="28"/>
        </w:rPr>
        <w:t>лей</w:t>
      </w:r>
    </w:p>
    <w:p w14:paraId="24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b w:val="1"/>
          <w:sz w:val="28"/>
        </w:rPr>
        <w:t xml:space="preserve">    + </w:t>
      </w:r>
      <w:r>
        <w:rPr>
          <w:rFonts w:ascii="Times New Roman" w:hAnsi="Times New Roman"/>
          <w:b w:val="0"/>
          <w:sz w:val="28"/>
        </w:rPr>
        <w:t>108,4</w:t>
      </w:r>
      <w:r>
        <w:rPr>
          <w:rFonts w:ascii="Times New Roman" w:hAnsi="Times New Roman"/>
          <w:b w:val="1"/>
          <w:sz w:val="28"/>
        </w:rPr>
        <w:t xml:space="preserve"> </w:t>
      </w:r>
      <w:r>
        <w:rPr>
          <w:rFonts w:ascii="Times New Roman" w:hAnsi="Times New Roman"/>
          <w:b w:val="0"/>
          <w:color w:val="22272F"/>
          <w:sz w:val="28"/>
          <w:highlight w:val="white"/>
        </w:rPr>
        <w:t>тыс.руб – приобрет</w:t>
      </w:r>
      <w:r>
        <w:rPr>
          <w:rFonts w:ascii="Times New Roman" w:hAnsi="Times New Roman"/>
          <w:color w:val="22272F"/>
          <w:sz w:val="28"/>
          <w:highlight w:val="white"/>
        </w:rPr>
        <w:t>ение оборудования для учреждений культуры</w:t>
      </w:r>
    </w:p>
    <w:p w14:paraId="25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b w:val="0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 + 10,0 тыс.руб – проведение кадастровых работ ;</w:t>
      </w:r>
    </w:p>
    <w:p w14:paraId="26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 + 200 тыс.руб – Благоустройство территории (подсыпка, планирование) для сквера в х. Колузаево</w:t>
      </w:r>
    </w:p>
    <w:p w14:paraId="27000000">
      <w:pPr>
        <w:spacing w:after="0" w:line="240" w:lineRule="auto"/>
        <w:ind w:firstLine="284" w:left="0"/>
        <w:contextualSpacing w:val="1"/>
        <w:jc w:val="both"/>
        <w:rPr>
          <w:rFonts w:ascii="Times New Roman" w:hAnsi="Times New Roman"/>
          <w:color w:val="22272F"/>
          <w:sz w:val="28"/>
          <w:highlight w:val="white"/>
        </w:rPr>
      </w:pPr>
      <w:r>
        <w:rPr>
          <w:rFonts w:ascii="Times New Roman" w:hAnsi="Times New Roman"/>
          <w:color w:val="22272F"/>
          <w:sz w:val="28"/>
          <w:highlight w:val="white"/>
        </w:rPr>
        <w:t xml:space="preserve">  + 100 тыс.руб.– увеличение лимитов на оплату уличного освещения</w:t>
      </w:r>
    </w:p>
    <w:p w14:paraId="28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9000000">
      <w:p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</w:p>
    <w:p w14:paraId="2A000000">
      <w:pPr>
        <w:numPr>
          <w:ilvl w:val="0"/>
          <w:numId w:val="1"/>
        </w:numPr>
        <w:spacing w:after="0" w:line="240" w:lineRule="auto"/>
        <w:ind/>
        <w:jc w:val="center"/>
        <w:rPr>
          <w:rFonts w:ascii="Times New Roman" w:hAnsi="Times New Roman"/>
          <w:b w:val="1"/>
          <w:sz w:val="28"/>
        </w:rPr>
      </w:pPr>
      <w:r>
        <w:rPr>
          <w:rFonts w:ascii="Times New Roman" w:hAnsi="Times New Roman"/>
          <w:b w:val="1"/>
          <w:sz w:val="28"/>
        </w:rPr>
        <w:t>Источники финансирования дефицита бюджета</w:t>
      </w:r>
    </w:p>
    <w:p w14:paraId="2B000000">
      <w:pPr>
        <w:spacing w:after="0" w:line="240" w:lineRule="auto"/>
        <w:ind w:firstLine="0" w:left="900"/>
        <w:rPr>
          <w:rFonts w:ascii="Times New Roman" w:hAnsi="Times New Roman"/>
          <w:b w:val="1"/>
          <w:sz w:val="28"/>
        </w:rPr>
      </w:pPr>
    </w:p>
    <w:p w14:paraId="2C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Остатки собственных средств на 01.01.2023 года составили 7257,8 тыс.рублей.</w:t>
      </w:r>
    </w:p>
    <w:p w14:paraId="2D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Проектом решения предусмотрено увеличения дефицита местного бюджета на 310,00  тыс.рублей. Дефицита бюджета с учетом изменений составит 4654,6   тыс. рублей. Источники финансирования дефицита бюджета -  остатки собственных средств на 01.01.2023 года</w:t>
      </w:r>
    </w:p>
    <w:p w14:paraId="2E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2F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0000000">
      <w:pPr>
        <w:spacing w:after="0" w:line="240" w:lineRule="auto"/>
        <w:ind w:firstLine="0" w:left="900"/>
        <w:rPr>
          <w:rFonts w:ascii="Times New Roman" w:hAnsi="Times New Roman"/>
          <w:sz w:val="28"/>
        </w:rPr>
      </w:pPr>
    </w:p>
    <w:p w14:paraId="31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Заведующий сектор</w:t>
      </w:r>
      <w:r>
        <w:rPr>
          <w:rFonts w:ascii="Times New Roman" w:hAnsi="Times New Roman"/>
          <w:sz w:val="28"/>
        </w:rPr>
        <w:t>а</w:t>
      </w:r>
      <w:r>
        <w:rPr>
          <w:rFonts w:ascii="Times New Roman" w:hAnsi="Times New Roman"/>
          <w:sz w:val="28"/>
        </w:rPr>
        <w:t xml:space="preserve"> </w:t>
      </w:r>
    </w:p>
    <w:p w14:paraId="32000000">
      <w:pPr>
        <w:spacing w:after="0" w:line="240" w:lineRule="auto"/>
        <w:ind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экономики и финансов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 xml:space="preserve">                                  А.В. Молявка</w:t>
      </w:r>
    </w:p>
    <w:p w14:paraId="33000000">
      <w:pPr>
        <w:rPr>
          <w:rFonts w:ascii="Times New Roman" w:hAnsi="Times New Roman"/>
          <w:sz w:val="28"/>
        </w:rPr>
      </w:pPr>
    </w:p>
    <w:p w14:paraId="34000000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Тел.(86342)38761</w:t>
      </w:r>
    </w:p>
    <w:sectPr>
      <w:headerReference r:id="rId1" w:type="default"/>
      <w:footerReference r:id="rId2" w:type="default"/>
      <w:pgSz w:h="16838" w:orient="portrait" w:w="11906"/>
      <w:pgMar w:bottom="1134" w:footer="708" w:gutter="0" w:header="708" w:left="1701" w:right="850" w:top="1560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footer2.xml><?xml version="1.0" encoding="utf-8"?>
<w:ft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2000000"/>
</w:ftr>
</file>

<file path=word/header1.xml><?xml version="1.0" encoding="utf-8"?>
<w:hdr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p w14:paraId="01000000"/>
</w:hdr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900"/>
      </w:pPr>
    </w:lvl>
    <w:lvl w:ilvl="1">
      <w:start w:val="1"/>
      <w:numFmt w:val="lowerLetter"/>
      <w:lvlText w:val="%2."/>
      <w:lvlJc w:val="left"/>
      <w:pPr>
        <w:ind w:hanging="360" w:left="1620"/>
      </w:pPr>
    </w:lvl>
    <w:lvl w:ilvl="2">
      <w:start w:val="1"/>
      <w:numFmt w:val="lowerRoman"/>
      <w:lvlText w:val="%3."/>
      <w:lvlJc w:val="right"/>
      <w:pPr>
        <w:ind w:hanging="180" w:left="2340"/>
      </w:pPr>
    </w:lvl>
    <w:lvl w:ilvl="3">
      <w:start w:val="1"/>
      <w:numFmt w:val="decimal"/>
      <w:lvlText w:val="%4."/>
      <w:lvlJc w:val="left"/>
      <w:pPr>
        <w:ind w:hanging="360" w:left="3060"/>
      </w:pPr>
    </w:lvl>
    <w:lvl w:ilvl="4">
      <w:start w:val="1"/>
      <w:numFmt w:val="lowerLetter"/>
      <w:lvlText w:val="%5."/>
      <w:lvlJc w:val="left"/>
      <w:pPr>
        <w:ind w:hanging="360" w:left="3780"/>
      </w:pPr>
    </w:lvl>
    <w:lvl w:ilvl="5">
      <w:start w:val="1"/>
      <w:numFmt w:val="lowerRoman"/>
      <w:lvlText w:val="%6."/>
      <w:lvlJc w:val="right"/>
      <w:pPr>
        <w:ind w:hanging="180" w:left="4500"/>
      </w:pPr>
    </w:lvl>
    <w:lvl w:ilvl="6">
      <w:start w:val="1"/>
      <w:numFmt w:val="decimal"/>
      <w:lvlText w:val="%7."/>
      <w:lvlJc w:val="left"/>
      <w:pPr>
        <w:ind w:hanging="360" w:left="5220"/>
      </w:pPr>
    </w:lvl>
    <w:lvl w:ilvl="7">
      <w:start w:val="1"/>
      <w:numFmt w:val="lowerLetter"/>
      <w:lvlText w:val="%8."/>
      <w:lvlJc w:val="left"/>
      <w:pPr>
        <w:ind w:hanging="360" w:left="5940"/>
      </w:pPr>
    </w:lvl>
    <w:lvl w:ilvl="8">
      <w:start w:val="1"/>
      <w:numFmt w:val="lowerRoman"/>
      <w:lvlText w:val="%9."/>
      <w:lvlJc w:val="right"/>
      <w:pPr>
        <w:ind w:hanging="180" w:left="666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="Calibri" w:hAnsi="Calibri"/>
        <w:color w:val="000000"/>
        <w:spacing w:val="0"/>
        <w:sz w:val="20"/>
      </w:rPr>
    </w:rPrDefault>
    <w:pPrDefault>
      <w:pPr>
        <w:spacing w:after="0" w:before="0" w:line="240" w:lineRule="auto"/>
        <w:ind w:firstLine="0" w:left="0" w:right="0"/>
        <w:jc w:val="left"/>
      </w:pPr>
    </w:pPrDefault>
  </w:docDefaults>
  <w:latentStyles w:count="24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2" w:type="paragraph">
    <w:name w:val="Normal"/>
    <w:link w:val="Style_2_ch"/>
    <w:uiPriority w:val="0"/>
    <w:qFormat/>
    <w:pPr>
      <w:spacing w:after="200" w:line="276" w:lineRule="auto"/>
      <w:ind/>
    </w:pPr>
    <w:rPr>
      <w:sz w:val="22"/>
    </w:rPr>
  </w:style>
  <w:style w:default="1" w:styleId="Style_2_ch" w:type="character">
    <w:name w:val="Normal"/>
    <w:link w:val="Style_2"/>
    <w:rPr>
      <w:sz w:val="22"/>
    </w:rPr>
  </w:style>
  <w:style w:styleId="Style_3" w:type="paragraph">
    <w:name w:val="Emphasis"/>
    <w:link w:val="Style_3_ch"/>
    <w:rPr>
      <w:i w:val="1"/>
    </w:rPr>
  </w:style>
  <w:style w:styleId="Style_3_ch" w:type="character">
    <w:name w:val="Emphasis"/>
    <w:link w:val="Style_3"/>
    <w:rPr>
      <w:i w:val="1"/>
    </w:rPr>
  </w:style>
  <w:style w:styleId="Style_4" w:type="paragraph">
    <w:name w:val="toc 2"/>
    <w:next w:val="Style_2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2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2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2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8" w:type="paragraph">
    <w:name w:val="heading 3"/>
    <w:next w:val="Style_2"/>
    <w:link w:val="Style_8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8_ch" w:type="character">
    <w:name w:val="heading 3"/>
    <w:link w:val="Style_8"/>
    <w:rPr>
      <w:rFonts w:ascii="XO Thames" w:hAnsi="XO Thames"/>
      <w:b w:val="1"/>
      <w:sz w:val="26"/>
    </w:rPr>
  </w:style>
  <w:style w:styleId="Style_9" w:type="paragraph">
    <w:name w:val="toc 3"/>
    <w:next w:val="Style_2"/>
    <w:link w:val="Style_9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9_ch" w:type="character">
    <w:name w:val="toc 3"/>
    <w:link w:val="Style_9"/>
    <w:rPr>
      <w:rFonts w:ascii="XO Thames" w:hAnsi="XO Thames"/>
      <w:sz w:val="28"/>
    </w:rPr>
  </w:style>
  <w:style w:styleId="Style_10" w:type="paragraph">
    <w:name w:val="Default Paragraph Font"/>
    <w:link w:val="Style_10_ch"/>
  </w:style>
  <w:style w:styleId="Style_10_ch" w:type="character">
    <w:name w:val="Default Paragraph Font"/>
    <w:link w:val="Style_10"/>
  </w:style>
  <w:style w:styleId="Style_11" w:type="paragraph">
    <w:name w:val="heading 5"/>
    <w:next w:val="Style_2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2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2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Header and Footer"/>
    <w:link w:val="Style_16_ch"/>
    <w:pPr>
      <w:spacing w:line="240" w:lineRule="auto"/>
      <w:ind/>
      <w:jc w:val="both"/>
    </w:pPr>
    <w:rPr>
      <w:rFonts w:ascii="XO Thames" w:hAnsi="XO Thames"/>
      <w:sz w:val="20"/>
    </w:rPr>
  </w:style>
  <w:style w:styleId="Style_16_ch" w:type="character">
    <w:name w:val="Header and Footer"/>
    <w:link w:val="Style_16"/>
    <w:rPr>
      <w:rFonts w:ascii="XO Thames" w:hAnsi="XO Thames"/>
      <w:sz w:val="20"/>
    </w:rPr>
  </w:style>
  <w:style w:styleId="Style_17" w:type="paragraph">
    <w:name w:val="toc 9"/>
    <w:next w:val="Style_2"/>
    <w:link w:val="Style_17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7_ch" w:type="character">
    <w:name w:val="toc 9"/>
    <w:link w:val="Style_17"/>
    <w:rPr>
      <w:rFonts w:ascii="XO Thames" w:hAnsi="XO Thames"/>
      <w:sz w:val="28"/>
    </w:rPr>
  </w:style>
  <w:style w:styleId="Style_18" w:type="paragraph">
    <w:name w:val="Balloon Text"/>
    <w:basedOn w:val="Style_2"/>
    <w:link w:val="Style_18_ch"/>
    <w:pPr>
      <w:spacing w:after="0" w:line="240" w:lineRule="auto"/>
      <w:ind/>
    </w:pPr>
    <w:rPr>
      <w:rFonts w:ascii="Tahoma" w:hAnsi="Tahoma"/>
      <w:sz w:val="16"/>
    </w:rPr>
  </w:style>
  <w:style w:styleId="Style_18_ch" w:type="character">
    <w:name w:val="Balloon Text"/>
    <w:basedOn w:val="Style_2_ch"/>
    <w:link w:val="Style_18"/>
    <w:rPr>
      <w:rFonts w:ascii="Tahoma" w:hAnsi="Tahoma"/>
      <w:sz w:val="16"/>
    </w:rPr>
  </w:style>
  <w:style w:styleId="Style_19" w:type="paragraph">
    <w:name w:val="toc 8"/>
    <w:next w:val="Style_2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s_1"/>
    <w:basedOn w:val="Style_2"/>
    <w:link w:val="Style_20_ch"/>
    <w:pPr>
      <w:spacing w:afterAutospacing="on" w:beforeAutospacing="on" w:line="240" w:lineRule="auto"/>
      <w:ind/>
    </w:pPr>
    <w:rPr>
      <w:rFonts w:ascii="Times New Roman" w:hAnsi="Times New Roman"/>
      <w:sz w:val="24"/>
    </w:rPr>
  </w:style>
  <w:style w:styleId="Style_20_ch" w:type="character">
    <w:name w:val="s_1"/>
    <w:basedOn w:val="Style_2_ch"/>
    <w:link w:val="Style_20"/>
    <w:rPr>
      <w:rFonts w:ascii="Times New Roman" w:hAnsi="Times New Roman"/>
      <w:sz w:val="24"/>
    </w:rPr>
  </w:style>
  <w:style w:styleId="Style_21" w:type="paragraph">
    <w:name w:val="toc 5"/>
    <w:next w:val="Style_2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2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2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2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2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1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7" Target="webSettings.xml" Type="http://schemas.openxmlformats.org/officeDocument/2006/relationships/webSettings"/>
  <Relationship Id="rId6" Target="stylesWithEffects.xml" Type="http://schemas.microsoft.com/office/2007/relationships/stylesWithEffects"/>
  <Relationship Id="rId9" Target="numbering.xml" Type="http://schemas.openxmlformats.org/officeDocument/2006/relationships/numbering"/>
  <Relationship Id="rId5" Target="styles.xml" Type="http://schemas.openxmlformats.org/officeDocument/2006/relationships/styles"/>
  <Relationship Id="rId8" Target="theme/theme1.xml" Type="http://schemas.openxmlformats.org/officeDocument/2006/relationships/theme"/>
  <Relationship Id="rId4" Target="settings.xml" Type="http://schemas.openxmlformats.org/officeDocument/2006/relationships/settings"/>
  <Relationship Id="rId3" Target="fontTable.xml" Type="http://schemas.openxmlformats.org/officeDocument/2006/relationships/fontTable"/>
  <Relationship Id="rId2" Target="footer2.xml" Type="http://schemas.openxmlformats.org/officeDocument/2006/relationships/footer"/>
  <Relationship Id="rId1" Target="header1.xml" Type="http://schemas.openxmlformats.org/officeDocument/2006/relationships/header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4="http://schemas.microsoft.com/office/spreadsheetml/2009/9/main" xmlns:xdr="http://schemas.openxmlformats.org/drawingml/2006/spreadsheetDrawing" xmlns:xm="http://schemas.microsoft.com/office/exce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XO Thames"/>
        <a:ea typeface=""/>
        <a:cs typeface=""/>
      </a:majorFont>
      <a:minorFont>
        <a:latin typeface="XO Thames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>
          <a:solidFill>
            <a:schemeClr val="phClr">
              <a:shade val="95000"/>
              <a:satMod val="105000"/>
            </a:schemeClr>
          </a:solidFill>
        </a:ln>
        <a:ln>
          <a:solidFill>
            <a:schemeClr val="phClr"/>
          </a:solidFill>
        </a:ln>
        <a:ln>
          <a:solidFill>
            <a:schemeClr val="phClr"/>
          </a:solidFill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MyOffice-CoreFramework-Windows/25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2023-09-25T11:43:22Z</dcterms:modified>
</cp:coreProperties>
</file>