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№1</w:t>
      </w:r>
    </w:p>
    <w:p w14:paraId="02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проекту  решению собрания депутатов Елизаветинского сельского поселения</w:t>
      </w:r>
    </w:p>
    <w:p w14:paraId="03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№ ____ от ______2024г.</w:t>
      </w:r>
    </w:p>
    <w:p w14:paraId="04000000">
      <w:pPr>
        <w:spacing w:after="0" w:line="240" w:lineRule="auto"/>
        <w:ind w:firstLine="0" w:left="3969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«Отчет об исполнении бюджета Елизаветинского  сельского поселения Азовского района за 2023 год»</w:t>
      </w: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Доходы бюджета Елизаветинского сельского поселения 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Азовского района </w:t>
      </w: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 кодам классификации доходов бюджетов за 2023 год</w:t>
      </w:r>
    </w:p>
    <w:p w14:paraId="08000000">
      <w:pPr>
        <w:spacing w:after="0" w:line="240" w:lineRule="auto"/>
        <w:ind w:firstLine="0" w:left="3969"/>
        <w:rPr>
          <w:rFonts w:ascii="Times New Roman" w:hAnsi="Times New Roman"/>
          <w:sz w:val="24"/>
        </w:rPr>
      </w:pPr>
    </w:p>
    <w:p w14:paraId="09000000">
      <w:pPr>
        <w:spacing w:after="0" w:line="240" w:lineRule="auto"/>
        <w:ind w:firstLine="0" w:left="3969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(тыс. руб.)</w:t>
      </w:r>
    </w:p>
    <w:tbl>
      <w:tblPr>
        <w:tblStyle w:val="Style_1"/>
        <w:tblInd w:type="dxa" w:w="-45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754"/>
        <w:gridCol w:w="5646"/>
        <w:gridCol w:w="1381"/>
      </w:tblGrid>
      <w:tr>
        <w:trPr>
          <w:trHeight w:hRule="atLeast" w:val="20"/>
          <w:tblHeader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бюджетной классификации дохода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показателя</w:t>
            </w:r>
          </w:p>
        </w:tc>
        <w:tc>
          <w:tcPr>
            <w:tcW w:type="dxa" w:w="13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bottom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Исполнено</w:t>
            </w:r>
          </w:p>
        </w:tc>
      </w:tr>
      <w:tr>
        <w:trPr>
          <w:trHeight w:hRule="atLeast" w:val="2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x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bookmarkStart w:id="1" w:name="RANGE!B9"/>
            <w:r>
              <w:rPr>
                <w:rFonts w:ascii="Times New Roman" w:hAnsi="Times New Roman"/>
                <w:b w:val="1"/>
                <w:sz w:val="24"/>
              </w:rPr>
              <w:t>Доходы бюджета – всего</w:t>
            </w:r>
            <w:bookmarkEnd w:id="1"/>
            <w:r>
              <w:rPr>
                <w:rFonts w:ascii="Times New Roman" w:hAnsi="Times New Roman"/>
                <w:b w:val="1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в том числе: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77788,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000 10000000000000000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НАЛОГОВЫЕ И НЕНАЛОГОВЫЕ ДОХОДЫ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11518,0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ПРИБЫЛЬ, ДОХОДЫ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904,8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bookmarkStart w:id="2" w:name="RANGE!B5:B7"/>
            <w:r>
              <w:rPr>
                <w:rFonts w:ascii="Times New Roman" w:hAnsi="Times New Roman"/>
                <w:sz w:val="24"/>
              </w:rPr>
              <w:t>Налог на доходы физических лиц</w:t>
            </w:r>
            <w:bookmarkEnd w:id="2"/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904,8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bookmarkStart w:id="3" w:name="RANGE!B6"/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3"/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708,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rPr>
          <w:trHeight w:hRule="atLeast" w:val="2439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708,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182 10102010013000110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с доходов, полученных от осуществления деятельности </w:t>
            </w:r>
            <w:r>
              <w:rPr>
                <w:rFonts w:ascii="Times New Roman" w:hAnsi="Times New Roman"/>
                <w:sz w:val="24"/>
              </w:rPr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3096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19,8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182 10102020013</w:t>
            </w:r>
            <w:r>
              <w:rPr>
                <w:rFonts w:ascii="Times New Roman" w:hAnsi="Times New Roman"/>
                <w:sz w:val="24"/>
              </w:rPr>
              <w:t>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102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138,</w:t>
            </w: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7,8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182 10102030013000110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182 10102080010000110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части суммы налога, превышающей 650000 рублей, относящейся </w:t>
            </w:r>
            <w:r>
              <w:rPr>
                <w:rFonts w:ascii="Times New Roman" w:hAnsi="Times New Roman"/>
                <w:sz w:val="24"/>
              </w:rPr>
              <w:t>к части налоговой базы, превышающей 5000000 рублей (за  исключением  налога на доходы  физических лиц с сумм прибыли контролируемой  иностранной компании, в том числе фиксированной  прибыли  контролируемой иностранной компании)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844,0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182 10102080011000110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части суммы налога, превышающей 650000 рублей, относящейся к части налоговой базы, превышающей 5000000 рублей (за  исключением  налога на доходы  физических лиц с сумм прибыли контролируемой  иностранной компании, в том числе фиксированной  прибыли  контролируемой иностранной компании) (суммы платежа (перерасчеты, недоимка и задолженность по 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844,0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182 10102130011000110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650 000 рублей)</w:t>
            </w:r>
            <w:r>
              <w:rPr>
                <w:rFonts w:ascii="Times New Roman" w:hAnsi="Times New Roman"/>
                <w:sz w:val="24"/>
              </w:rPr>
              <w:t xml:space="preserve">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90,8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182 10102140011000110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650 000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СОВОКУПНЫЙ ДОХОД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436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182 10503010013000110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ИМУЩЕСТВО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6240,1</w:t>
            </w:r>
          </w:p>
        </w:tc>
      </w:tr>
      <w:tr>
        <w:trPr>
          <w:trHeight w:hRule="atLeast" w:val="200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</w:t>
            </w:r>
            <w:r>
              <w:rPr>
                <w:rFonts w:ascii="Times New Roman" w:hAnsi="Times New Roman"/>
                <w:sz w:val="24"/>
              </w:rPr>
              <w:t>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2042,4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182 10601030103000110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(суммы денежных взысканий  (штрафов) по соответствующему  платежу </w:t>
            </w:r>
            <w:r>
              <w:rPr>
                <w:rFonts w:ascii="Times New Roman" w:hAnsi="Times New Roman"/>
                <w:sz w:val="24"/>
              </w:rPr>
              <w:t>согласно законодательства</w:t>
            </w:r>
            <w:r>
              <w:rPr>
                <w:rFonts w:ascii="Times New Roman" w:hAnsi="Times New Roman"/>
                <w:sz w:val="24"/>
              </w:rPr>
              <w:t xml:space="preserve"> РФ) 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4197,</w:t>
            </w: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1368,6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1368,6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182 10606033103000110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182 10606033104000110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организаций,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2829,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2829,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7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182 10606043104000110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с физических лиц, обладающих земельным участком, расположенным в границах сельских поселений (прочие поступления)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951 10804000010000110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951 10804020010000110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951 10804020011000110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182 10904000000000110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Налоги на имущество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182 10904050000000110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182 10904053100000110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182 10904053101000110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182 10904053102100110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налог (по обязательствам, возникшим до 1 января 2006 года), мобилизуемый на территориях сельских поселений (пени по соответствующему платежу)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951 11105000000000120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951 11105030000000120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951 11105035100000120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951 11302000000000130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компенсации затрат государства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951 11302990000000130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доходы от компенсации затрат государства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951 11302995100000130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доходы от компенсации затрат бюджетов сельских поселений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951 11400000000000000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2035,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951 11402000000000000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реализации имущества, находящегося в государственной и муниципальной собственности</w:t>
            </w:r>
            <w:r>
              <w:rPr>
                <w:rFonts w:ascii="Times New Roman" w:hAnsi="Times New Roman"/>
                <w:sz w:val="24"/>
              </w:rPr>
              <w:t xml:space="preserve"> ,</w:t>
            </w:r>
            <w:r>
              <w:rPr>
                <w:rFonts w:ascii="Times New Roman" w:hAnsi="Times New Roman"/>
                <w:sz w:val="24"/>
              </w:rPr>
              <w:t xml:space="preserve"> ( за исключением движимого имущества  бюджетных и автономных учреждений, а также имущества </w:t>
            </w:r>
            <w:r>
              <w:rPr>
                <w:rFonts w:ascii="Times New Roman" w:hAnsi="Times New Roman"/>
                <w:sz w:val="24"/>
              </w:rPr>
              <w:t>государственных и муниципальных унитарных предприятий, в том числе казенных)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2035,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951 11402050100000410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реализации имущества, находящегося в собственности сельских поселений, </w:t>
            </w:r>
            <w:r>
              <w:rPr>
                <w:rFonts w:ascii="Times New Roman" w:hAnsi="Times New Roman"/>
                <w:sz w:val="24"/>
              </w:rPr>
              <w:t xml:space="preserve">( </w:t>
            </w:r>
            <w:r>
              <w:rPr>
                <w:rFonts w:ascii="Times New Roman" w:hAnsi="Times New Roman"/>
                <w:sz w:val="24"/>
              </w:rPr>
              <w:t>за исключением</w:t>
            </w:r>
            <w:r>
              <w:rPr>
                <w:rFonts w:ascii="Times New Roman" w:hAnsi="Times New Roman"/>
                <w:sz w:val="24"/>
              </w:rPr>
              <w:t xml:space="preserve"> движимого</w:t>
            </w:r>
            <w:r>
              <w:rPr>
                <w:rFonts w:ascii="Times New Roman" w:hAnsi="Times New Roman"/>
                <w:sz w:val="24"/>
              </w:rPr>
              <w:t xml:space="preserve"> имущества муниципальных бюджетных и автономных учреждений</w:t>
            </w:r>
            <w:r>
              <w:rPr>
                <w:rFonts w:ascii="Times New Roman" w:hAnsi="Times New Roman"/>
                <w:sz w:val="24"/>
              </w:rPr>
              <w:t>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2035,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951 11402052100000410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</w:t>
            </w:r>
            <w:r>
              <w:rPr>
                <w:rFonts w:ascii="Times New Roman" w:hAnsi="Times New Roman"/>
                <w:sz w:val="24"/>
              </w:rPr>
              <w:t xml:space="preserve">( </w:t>
            </w:r>
            <w:r>
              <w:rPr>
                <w:rFonts w:ascii="Times New Roman" w:hAnsi="Times New Roman"/>
                <w:sz w:val="24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2035,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САНКЦИИ, ВОЗМЕЩЕНИЕ УЩЕРБА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000 11602000020000140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000 11602020020000140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8,0</w:t>
            </w:r>
          </w:p>
        </w:tc>
      </w:tr>
      <w:tr>
        <w:trPr>
          <w:trHeight w:hRule="atLeast" w:val="1138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802 11602020020000140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951 11607000010000140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951 11607010000000140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951 11607010100000140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802 11610000000000140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Платежи в целях возмещения причиненного ущерба (убытков)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802 11610120000000140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денежных взысканий (штрафов), </w:t>
            </w:r>
            <w:r>
              <w:rPr>
                <w:rFonts w:ascii="Times New Roman" w:hAnsi="Times New Roman"/>
                <w:sz w:val="24"/>
              </w:rPr>
              <w:t>поступающие в счет погашения задолженности, образовавшейся до 1 января 2020 года, подлежащие зачислению в бюджеты бюджетной системы Российской Федерации, по нормативам, действующим до 1 января 2020 года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802 11610123010000140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802 11610123010101140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951 20000000000000000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66270,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951 2020000000000000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540,0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951 20215001000000150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951 20215001100000150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8303,4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951 20215002000000150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на поддержку  мер по обеспечению сбалансированности  бюджетов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236,6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951 20215002100000150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на поддержку мер  по обеспечению сбалансированности  бюджетов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236,6</w:t>
            </w:r>
          </w:p>
        </w:tc>
      </w:tr>
      <w:tr>
        <w:trPr>
          <w:trHeight w:hRule="atLeast" w:val="485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бюджетной системы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99,4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951 20230024000000150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951 20230024100000150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951 20235118000000150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951 20235118100000150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299,2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951 20240000000000150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межбюджетные трансферты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57431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951 20249999</w:t>
            </w:r>
            <w:r>
              <w:rPr>
                <w:rFonts w:ascii="Times New Roman" w:hAnsi="Times New Roman"/>
                <w:sz w:val="24"/>
              </w:rPr>
              <w:t>000000150</w:t>
            </w: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Межбюджетные трансферты, передаваемые бюджетам </w:t>
            </w: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57431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>
        <w:trPr>
          <w:trHeight w:hRule="atLeast" w:val="74"/>
        </w:trPr>
        <w:tc>
          <w:tcPr>
            <w:tcW w:type="dxa" w:w="2754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auto" w:val="clear"/>
            <w:vAlign w:val="bottom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951 20249999</w:t>
            </w:r>
            <w:r>
              <w:rPr>
                <w:rFonts w:ascii="Times New Roman" w:hAnsi="Times New Roman"/>
                <w:sz w:val="24"/>
              </w:rPr>
              <w:t>100000150</w:t>
            </w:r>
          </w:p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6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</w:t>
            </w:r>
            <w:r>
              <w:rPr>
                <w:rFonts w:ascii="Times New Roman" w:hAnsi="Times New Roman"/>
                <w:sz w:val="24"/>
              </w:rPr>
              <w:t>даваемые бюджетам сельских поселений</w:t>
            </w:r>
          </w:p>
          <w:p w14:paraId="1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81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1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57431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0</w:t>
            </w:r>
          </w:p>
        </w:tc>
      </w:tr>
    </w:tbl>
    <w:p w14:paraId="15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601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17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Собрания депутатов – </w:t>
      </w:r>
    </w:p>
    <w:p w14:paraId="1801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Елизаветинского сельского поселения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Н.А. Волкова</w:t>
      </w:r>
    </w:p>
    <w:sectPr>
      <w:pgSz w:h="16838" w:orient="portrait" w:w="11906"/>
      <w:pgMar w:bottom="1276" w:footer="708" w:gutter="0" w:header="708" w:left="1701" w:right="850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ind/>
      <w:jc w:val="both"/>
    </w:pPr>
    <w:rPr>
      <w:rFonts w:ascii="XO Thames" w:hAnsi="XO Thames"/>
    </w:rPr>
  </w:style>
  <w:style w:styleId="Style_16_ch" w:type="character">
    <w:name w:val="Header and Footer"/>
    <w:link w:val="Style_16"/>
    <w:rPr>
      <w:rFonts w:ascii="XO Thames" w:hAnsi="XO Thames"/>
    </w:rPr>
  </w:style>
  <w:style w:styleId="Style_17" w:type="paragraph">
    <w:name w:val="Гиперссылка1"/>
    <w:link w:val="Style_17_ch"/>
    <w:rPr>
      <w:color w:val="0000FF"/>
      <w:u w:val="single"/>
    </w:rPr>
  </w:style>
  <w:style w:styleId="Style_17_ch" w:type="character">
    <w:name w:val="Гиперссылка1"/>
    <w:link w:val="Style_17"/>
    <w:rPr>
      <w:color w:val="0000FF"/>
      <w:u w:val="single"/>
    </w:rPr>
  </w:style>
  <w:style w:styleId="Style_18" w:type="paragraph">
    <w:name w:val="toc 9"/>
    <w:next w:val="Style_2"/>
    <w:link w:val="Style_18_ch"/>
    <w:uiPriority w:val="39"/>
    <w:pPr>
      <w:ind w:firstLine="0" w:left="1600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Balloon Text"/>
    <w:basedOn w:val="Style_2"/>
    <w:link w:val="Style_19_ch"/>
    <w:pPr>
      <w:spacing w:after="0" w:line="240" w:lineRule="auto"/>
      <w:ind/>
    </w:pPr>
    <w:rPr>
      <w:rFonts w:ascii="Tahoma" w:hAnsi="Tahoma"/>
      <w:sz w:val="16"/>
    </w:rPr>
  </w:style>
  <w:style w:styleId="Style_19_ch" w:type="character">
    <w:name w:val="Balloon Text"/>
    <w:basedOn w:val="Style_2_ch"/>
    <w:link w:val="Style_19"/>
    <w:rPr>
      <w:rFonts w:ascii="Tahoma" w:hAnsi="Tahoma"/>
      <w:sz w:val="16"/>
    </w:rPr>
  </w:style>
  <w:style w:styleId="Style_20" w:type="paragraph">
    <w:name w:val="Обычный1"/>
    <w:link w:val="Style_20_ch"/>
    <w:rPr>
      <w:sz w:val="22"/>
    </w:rPr>
  </w:style>
  <w:style w:styleId="Style_20_ch" w:type="character">
    <w:name w:val="Обычный1"/>
    <w:link w:val="Style_20"/>
    <w:rPr>
      <w:sz w:val="22"/>
    </w:rPr>
  </w:style>
  <w:style w:styleId="Style_21" w:type="paragraph">
    <w:name w:val="toc 8"/>
    <w:next w:val="Style_2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1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2024-03-25T14:00:42Z</dcterms:modified>
</cp:coreProperties>
</file>