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Ind w:type="dxa" w:w="-469"/>
        <w:tblLayout w:type="fixed"/>
      </w:tblPr>
      <w:tblGrid>
        <w:gridCol w:w="6259"/>
        <w:gridCol w:w="1328"/>
        <w:gridCol w:w="1131"/>
        <w:gridCol w:w="1087"/>
        <w:gridCol w:w="19"/>
      </w:tblGrid>
      <w:tr>
        <w:trPr>
          <w:trHeight w:hRule="atLeast" w:val="255"/>
        </w:trPr>
        <w:tc>
          <w:tcPr>
            <w:tcW w:type="dxa" w:w="9805"/>
            <w:gridSpan w:val="4"/>
            <w:shd w:fill="auto" w:val="clear"/>
          </w:tcPr>
          <w:p w14:paraId="01000000">
            <w:pPr>
              <w:spacing w:after="0" w:line="240" w:lineRule="auto"/>
              <w:ind/>
              <w:jc w:val="right"/>
            </w:pPr>
            <w:r>
              <w:rPr>
                <w:rFonts w:ascii="Times New Roman" w:hAnsi="Times New Roman"/>
                <w:sz w:val="28"/>
              </w:rPr>
              <w:t>Приложение 9</w:t>
            </w:r>
          </w:p>
        </w:tc>
        <w:tc>
          <w:tcPr>
            <w:tcW w:type="dxa" w:w="19"/>
          </w:tcPr>
          <w:p/>
        </w:tc>
      </w:tr>
      <w:tr>
        <w:trPr>
          <w:trHeight w:hRule="atLeast" w:val="1379"/>
        </w:trPr>
        <w:tc>
          <w:tcPr>
            <w:tcW w:type="dxa" w:w="9805"/>
            <w:gridSpan w:val="4"/>
            <w:shd w:fill="auto" w:val="clear"/>
          </w:tcPr>
          <w:p w14:paraId="02000000">
            <w:pPr>
              <w:spacing w:after="0" w:line="240" w:lineRule="auto"/>
              <w:ind w:firstLine="0" w:left="3402"/>
              <w:jc w:val="right"/>
            </w:pPr>
            <w:r>
              <w:rPr>
                <w:rFonts w:ascii="Times New Roman" w:hAnsi="Times New Roman"/>
                <w:sz w:val="28"/>
              </w:rPr>
              <w:t xml:space="preserve">к  решению </w:t>
            </w:r>
            <w:r>
              <w:rPr>
                <w:rFonts w:ascii="Times New Roman" w:hAnsi="Times New Roman"/>
                <w:sz w:val="28"/>
              </w:rPr>
              <w:t xml:space="preserve"> собрания депутатов </w:t>
            </w:r>
          </w:p>
          <w:p w14:paraId="03000000">
            <w:pPr>
              <w:spacing w:after="0" w:line="240" w:lineRule="auto"/>
              <w:ind w:firstLine="0" w:left="3402"/>
              <w:jc w:val="right"/>
            </w:pPr>
            <w:r>
              <w:rPr>
                <w:rFonts w:ascii="Times New Roman" w:hAnsi="Times New Roman"/>
                <w:sz w:val="28"/>
              </w:rPr>
              <w:t xml:space="preserve">Елизаветинского сельского поселения  </w:t>
            </w:r>
          </w:p>
          <w:p w14:paraId="04000000">
            <w:pPr>
              <w:spacing w:after="0" w:line="240" w:lineRule="auto"/>
              <w:ind w:firstLine="0" w:left="3402"/>
              <w:jc w:val="right"/>
            </w:pPr>
            <w:r>
              <w:rPr>
                <w:rFonts w:ascii="Times New Roman" w:hAnsi="Times New Roman"/>
                <w:sz w:val="28"/>
              </w:rPr>
              <w:t>№ 10 от 18.05.2023 г. « О внесении изменений « О бюджете Елизаветинского сельского по</w:t>
            </w:r>
            <w:r>
              <w:rPr>
                <w:rFonts w:ascii="Times New Roman" w:hAnsi="Times New Roman"/>
                <w:sz w:val="28"/>
              </w:rPr>
              <w:t>селения Азовского района на 2023</w:t>
            </w:r>
            <w:r>
              <w:rPr>
                <w:rFonts w:ascii="Times New Roman" w:hAnsi="Times New Roman"/>
                <w:sz w:val="28"/>
              </w:rPr>
              <w:t xml:space="preserve"> год и плановый период 2024</w:t>
            </w:r>
            <w:r>
              <w:rPr>
                <w:rFonts w:ascii="Times New Roman" w:hAnsi="Times New Roman"/>
                <w:sz w:val="28"/>
              </w:rPr>
              <w:t xml:space="preserve"> и 2025</w:t>
            </w:r>
            <w:r>
              <w:rPr>
                <w:rFonts w:ascii="Times New Roman" w:hAnsi="Times New Roman"/>
                <w:sz w:val="28"/>
              </w:rPr>
              <w:t xml:space="preserve"> годов»</w:t>
            </w:r>
          </w:p>
          <w:p w14:paraId="05000000">
            <w:pPr>
              <w:spacing w:after="0" w:line="240" w:lineRule="auto"/>
              <w:ind w:firstLine="0" w:left="3402"/>
              <w:jc w:val="right"/>
            </w:pPr>
            <w:r>
              <w:rPr>
                <w:rFonts w:ascii="Times New Roman" w:hAnsi="Times New Roman"/>
                <w:sz w:val="28"/>
              </w:rPr>
              <w:t>от 26.12.</w:t>
            </w:r>
            <w:r>
              <w:rPr>
                <w:rFonts w:ascii="Times New Roman" w:hAnsi="Times New Roman"/>
                <w:sz w:val="28"/>
              </w:rPr>
              <w:t>2023 г. № 24</w:t>
            </w:r>
            <w:r>
              <w:rPr>
                <w:rFonts w:ascii="Times New Roman" w:hAnsi="Times New Roman"/>
                <w:sz w:val="28"/>
              </w:rPr>
              <w:t xml:space="preserve">                          </w:t>
            </w:r>
            <w:r>
              <w:rPr>
                <w:rFonts w:ascii="Times New Roman" w:hAnsi="Times New Roman"/>
                <w:sz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type="dxa" w:w="19"/>
          </w:tcPr>
          <w:p/>
        </w:tc>
      </w:tr>
      <w:tr>
        <w:trPr>
          <w:trHeight w:hRule="atLeast" w:val="3220"/>
        </w:trPr>
        <w:tc>
          <w:tcPr>
            <w:tcW w:type="dxa" w:w="9805"/>
            <w:gridSpan w:val="4"/>
            <w:shd w:fill="auto" w:val="clear"/>
            <w:vAlign w:val="center"/>
          </w:tcPr>
          <w:p w14:paraId="0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</w:p>
          <w:p w14:paraId="0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</w:p>
          <w:p w14:paraId="08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b w:val="1"/>
                <w:sz w:val="28"/>
              </w:rPr>
              <w:t xml:space="preserve">Иные межбюджетные трансферты, </w:t>
            </w:r>
          </w:p>
          <w:p w14:paraId="09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b w:val="1"/>
                <w:sz w:val="28"/>
              </w:rPr>
              <w:t xml:space="preserve">передаваемые в бюджет сельского поселения и направляемые на финансирование расходов, связанных с осуществлением части полномочий органов местного самоуправления  </w:t>
            </w:r>
          </w:p>
          <w:p w14:paraId="0A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b w:val="1"/>
                <w:sz w:val="28"/>
              </w:rPr>
              <w:t>на 2023</w:t>
            </w:r>
            <w:r>
              <w:rPr>
                <w:rFonts w:ascii="Times New Roman" w:hAnsi="Times New Roman"/>
                <w:b w:val="1"/>
                <w:sz w:val="28"/>
              </w:rPr>
              <w:t xml:space="preserve"> год и плановый период 2024</w:t>
            </w:r>
            <w:r>
              <w:rPr>
                <w:rFonts w:ascii="Times New Roman" w:hAnsi="Times New Roman"/>
                <w:b w:val="1"/>
                <w:sz w:val="28"/>
              </w:rPr>
              <w:t xml:space="preserve"> и 2025</w:t>
            </w:r>
            <w:r>
              <w:rPr>
                <w:rFonts w:ascii="Times New Roman" w:hAnsi="Times New Roman"/>
                <w:b w:val="1"/>
                <w:sz w:val="28"/>
              </w:rPr>
              <w:t xml:space="preserve"> годов</w:t>
            </w:r>
          </w:p>
          <w:p w14:paraId="0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</w:p>
          <w:p w14:paraId="0C000000">
            <w:pPr>
              <w:spacing w:after="0" w:line="240" w:lineRule="auto"/>
              <w:ind/>
              <w:jc w:val="right"/>
            </w:pPr>
            <w:r>
              <w:rPr>
                <w:rFonts w:ascii="Times New Roman" w:hAnsi="Times New Roman"/>
                <w:b w:val="1"/>
                <w:sz w:val="28"/>
              </w:rPr>
              <w:t>(тыс. руб.)</w:t>
            </w:r>
          </w:p>
        </w:tc>
        <w:tc>
          <w:tcPr>
            <w:tcW w:type="dxa" w:w="19"/>
          </w:tcPr>
          <w:p/>
        </w:tc>
      </w:tr>
      <w:tr>
        <w:trPr>
          <w:trHeight w:hRule="atLeast" w:val="730"/>
        </w:trPr>
        <w:tc>
          <w:tcPr>
            <w:tcW w:type="dxa" w:w="625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0D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b w:val="1"/>
                <w:sz w:val="28"/>
              </w:rPr>
              <w:t>Наименование соглашения</w:t>
            </w:r>
          </w:p>
        </w:tc>
        <w:tc>
          <w:tcPr>
            <w:tcW w:type="dxa" w:w="132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0E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b w:val="1"/>
                <w:sz w:val="28"/>
              </w:rPr>
              <w:t>2023</w:t>
            </w:r>
            <w:r>
              <w:rPr>
                <w:rFonts w:ascii="Times New Roman" w:hAnsi="Times New Roman"/>
                <w:b w:val="1"/>
                <w:sz w:val="28"/>
              </w:rPr>
              <w:t xml:space="preserve"> год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0F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b w:val="1"/>
                <w:sz w:val="28"/>
              </w:rPr>
              <w:t>2024</w:t>
            </w:r>
            <w:r>
              <w:rPr>
                <w:rFonts w:ascii="Times New Roman" w:hAnsi="Times New Roman"/>
                <w:b w:val="1"/>
                <w:sz w:val="28"/>
              </w:rPr>
              <w:t xml:space="preserve"> год</w:t>
            </w:r>
          </w:p>
        </w:tc>
        <w:tc>
          <w:tcPr>
            <w:tcW w:type="dxa" w:w="1106"/>
            <w:gridSpan w:val="2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10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b w:val="1"/>
                <w:sz w:val="28"/>
              </w:rPr>
              <w:t>2025</w:t>
            </w:r>
            <w:r>
              <w:rPr>
                <w:rFonts w:ascii="Times New Roman" w:hAnsi="Times New Roman"/>
                <w:b w:val="1"/>
                <w:sz w:val="28"/>
              </w:rPr>
              <w:t xml:space="preserve"> год</w:t>
            </w:r>
          </w:p>
        </w:tc>
      </w:tr>
      <w:tr>
        <w:trPr>
          <w:trHeight w:hRule="atLeast" w:val="361"/>
        </w:trPr>
        <w:tc>
          <w:tcPr>
            <w:tcW w:type="dxa" w:w="625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Иные межбюджетные трансферты  по исполнению решения Азовского городского суда по делу №2-1190/2020 </w:t>
            </w:r>
          </w:p>
          <w:p w14:paraId="12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8"/>
              </w:rPr>
              <w:t xml:space="preserve"> 951 0113 9990028990830  </w:t>
            </w:r>
          </w:p>
        </w:tc>
        <w:tc>
          <w:tcPr>
            <w:tcW w:type="dxa" w:w="132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3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8"/>
              </w:rPr>
              <w:t>53674,2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4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110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</w:tr>
      <w:tr>
        <w:trPr>
          <w:trHeight w:hRule="atLeast" w:val="720"/>
        </w:trPr>
        <w:tc>
          <w:tcPr>
            <w:tcW w:type="dxa" w:w="625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 на приобретение пожарного оборудования ( приобретение трактора)</w:t>
            </w:r>
          </w:p>
          <w:p w14:paraId="1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951 0310 2100S4850244</w:t>
            </w:r>
          </w:p>
        </w:tc>
        <w:tc>
          <w:tcPr>
            <w:tcW w:type="dxa" w:w="132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3937,8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1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600"/>
        </w:trPr>
        <w:tc>
          <w:tcPr>
            <w:tcW w:type="dxa" w:w="625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C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b w:val="1"/>
                <w:sz w:val="28"/>
              </w:rPr>
              <w:t>ИТОГО</w:t>
            </w:r>
          </w:p>
        </w:tc>
        <w:tc>
          <w:tcPr>
            <w:tcW w:type="dxa" w:w="132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D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b w:val="1"/>
                <w:sz w:val="28"/>
              </w:rPr>
              <w:t>57612,0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E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b w:val="1"/>
                <w:sz w:val="28"/>
              </w:rPr>
              <w:t>0,0</w:t>
            </w:r>
          </w:p>
        </w:tc>
        <w:tc>
          <w:tcPr>
            <w:tcW w:type="dxa" w:w="110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b w:val="1"/>
                <w:sz w:val="28"/>
              </w:rPr>
              <w:t>0,0</w:t>
            </w:r>
          </w:p>
        </w:tc>
      </w:tr>
      <w:tr>
        <w:trPr>
          <w:trHeight w:hRule="atLeast" w:val="255"/>
        </w:trPr>
        <w:tc>
          <w:tcPr>
            <w:tcW w:type="dxa" w:w="6259"/>
            <w:tcBorders>
              <w:top w:color="000000" w:sz="4" w:val="single"/>
            </w:tcBorders>
            <w:shd w:fill="auto" w:val="clear"/>
            <w:vAlign w:val="bottom"/>
          </w:tcPr>
          <w:p w14:paraId="20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328"/>
            <w:tcBorders>
              <w:top w:color="000000" w:sz="4" w:val="single"/>
            </w:tcBorders>
            <w:shd w:fill="auto" w:val="clear"/>
            <w:vAlign w:val="bottom"/>
          </w:tcPr>
          <w:p w14:paraId="21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131"/>
            <w:tcBorders>
              <w:top w:color="000000" w:sz="4" w:val="single"/>
            </w:tcBorders>
            <w:shd w:fill="auto" w:val="clear"/>
          </w:tcPr>
          <w:p w14:paraId="22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087"/>
            <w:tcBorders>
              <w:top w:color="000000" w:sz="4" w:val="single"/>
            </w:tcBorders>
            <w:shd w:fill="auto" w:val="clear"/>
          </w:tcPr>
          <w:p w14:paraId="23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9"/>
          </w:tcPr>
          <w:p/>
        </w:tc>
      </w:tr>
    </w:tbl>
    <w:p w14:paraId="24000000">
      <w:pPr>
        <w:tabs>
          <w:tab w:leader="none" w:pos="6600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25000000">
      <w:pPr>
        <w:tabs>
          <w:tab w:leader="none" w:pos="6600" w:val="left"/>
        </w:tabs>
        <w:spacing w:after="0" w:line="240" w:lineRule="auto"/>
        <w:ind/>
      </w:pPr>
      <w:r>
        <w:rPr>
          <w:rFonts w:ascii="Times New Roman" w:hAnsi="Times New Roman"/>
          <w:sz w:val="28"/>
        </w:rPr>
        <w:t xml:space="preserve">Председатель Собрания депутатов – </w:t>
      </w:r>
    </w:p>
    <w:p w14:paraId="26000000">
      <w:pPr>
        <w:tabs>
          <w:tab w:leader="none" w:pos="6600" w:val="left"/>
        </w:tabs>
        <w:spacing w:after="0" w:line="240" w:lineRule="auto"/>
        <w:ind/>
      </w:pPr>
      <w:r>
        <w:rPr>
          <w:rFonts w:ascii="Times New Roman" w:hAnsi="Times New Roman"/>
          <w:sz w:val="28"/>
        </w:rPr>
        <w:t>Глава Елизаветинского сельского поселения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Н.А. Волкова</w:t>
      </w:r>
    </w:p>
    <w:p w14:paraId="27000000"/>
    <w:p w14:paraId="28000000"/>
    <w:p w14:paraId="29000000"/>
    <w:p w14:paraId="2A000000"/>
    <w:tbl>
      <w:tblPr>
        <w:tblStyle w:val="Style_1"/>
        <w:tblInd w:type="dxa" w:w="87"/>
        <w:tblLayout w:type="fixed"/>
      </w:tblPr>
      <w:tblGrid>
        <w:gridCol w:w="6783"/>
        <w:gridCol w:w="2485"/>
      </w:tblGrid>
      <w:tr>
        <w:trPr>
          <w:trHeight w:hRule="atLeast" w:val="345"/>
        </w:trPr>
        <w:tc>
          <w:tcPr>
            <w:tcW w:type="dxa" w:w="6783"/>
            <w:shd w:fill="auto" w:val="clear"/>
            <w:vAlign w:val="bottom"/>
          </w:tcPr>
          <w:p w14:paraId="2B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2485"/>
            <w:shd w:fill="auto" w:val="clear"/>
            <w:vAlign w:val="bottom"/>
          </w:tcPr>
          <w:p w14:paraId="2C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</w:p>
        </w:tc>
      </w:tr>
    </w:tbl>
    <w:p w14:paraId="2D000000"/>
    <w:sectPr>
      <w:pgSz w:h="16838" w:orient="portrait" w:w="11906"/>
      <w:pgMar w:bottom="426" w:footer="720" w:gutter="0" w:header="720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200" w:line="276" w:lineRule="auto"/>
      <w:ind/>
    </w:pPr>
    <w:rPr>
      <w:rFonts w:ascii="Calibri" w:hAnsi="Calibri"/>
      <w:sz w:val="22"/>
    </w:rPr>
  </w:style>
  <w:style w:default="1" w:styleId="Style_2_ch" w:type="character">
    <w:name w:val="Normal"/>
    <w:link w:val="Style_2"/>
    <w:rPr>
      <w:rFonts w:ascii="Calibri" w:hAnsi="Calibri"/>
      <w:sz w:val="22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caption"/>
    <w:basedOn w:val="Style_2"/>
    <w:link w:val="Style_5_ch"/>
    <w:pPr>
      <w:spacing w:after="120" w:before="120"/>
      <w:ind/>
    </w:pPr>
    <w:rPr>
      <w:i w:val="1"/>
      <w:sz w:val="24"/>
    </w:rPr>
  </w:style>
  <w:style w:styleId="Style_5_ch" w:type="character">
    <w:name w:val="caption"/>
    <w:basedOn w:val="Style_2_ch"/>
    <w:link w:val="Style_5"/>
    <w:rPr>
      <w:i w:val="1"/>
      <w:sz w:val="24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Текст выноски Знак"/>
    <w:basedOn w:val="Style_9"/>
    <w:link w:val="Style_8_ch"/>
    <w:rPr>
      <w:rFonts w:ascii="Tahoma" w:hAnsi="Tahoma"/>
      <w:sz w:val="16"/>
    </w:rPr>
  </w:style>
  <w:style w:styleId="Style_8_ch" w:type="character">
    <w:name w:val="Текст выноски Знак"/>
    <w:basedOn w:val="Style_9_ch"/>
    <w:link w:val="Style_8"/>
    <w:rPr>
      <w:rFonts w:ascii="Tahoma" w:hAnsi="Tahoma"/>
      <w:sz w:val="16"/>
    </w:rPr>
  </w:style>
  <w:style w:styleId="Style_10" w:type="paragraph">
    <w:name w:val="Заголовок таблицы"/>
    <w:basedOn w:val="Style_11"/>
    <w:link w:val="Style_10_ch"/>
    <w:pPr>
      <w:ind/>
      <w:jc w:val="center"/>
    </w:pPr>
    <w:rPr>
      <w:b w:val="1"/>
    </w:rPr>
  </w:style>
  <w:style w:styleId="Style_10_ch" w:type="character">
    <w:name w:val="Заголовок таблицы"/>
    <w:basedOn w:val="Style_11_ch"/>
    <w:link w:val="Style_10"/>
    <w:rPr>
      <w:b w:val="1"/>
    </w:rPr>
  </w:style>
  <w:style w:styleId="Style_12" w:type="paragraph">
    <w:name w:val="List"/>
    <w:basedOn w:val="Style_13"/>
    <w:link w:val="Style_12_ch"/>
  </w:style>
  <w:style w:styleId="Style_12_ch" w:type="character">
    <w:name w:val="List"/>
    <w:basedOn w:val="Style_13_ch"/>
    <w:link w:val="Style_12"/>
  </w:style>
  <w:style w:styleId="Style_11" w:type="paragraph">
    <w:name w:val="Содержимое таблицы"/>
    <w:basedOn w:val="Style_2"/>
    <w:link w:val="Style_11_ch"/>
  </w:style>
  <w:style w:styleId="Style_11_ch" w:type="character">
    <w:name w:val="Содержимое таблицы"/>
    <w:basedOn w:val="Style_2_ch"/>
    <w:link w:val="Style_11"/>
  </w:style>
  <w:style w:styleId="Style_14" w:type="paragraph">
    <w:name w:val="heading 3"/>
    <w:next w:val="Style_2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3" w:type="paragraph">
    <w:name w:val="Body Text"/>
    <w:basedOn w:val="Style_2"/>
    <w:link w:val="Style_13_ch"/>
    <w:pPr>
      <w:spacing w:after="140" w:before="0" w:line="276" w:lineRule="auto"/>
      <w:ind/>
    </w:pPr>
  </w:style>
  <w:style w:styleId="Style_13_ch" w:type="character">
    <w:name w:val="Body Text"/>
    <w:basedOn w:val="Style_2_ch"/>
    <w:link w:val="Style_13"/>
  </w:style>
  <w:style w:styleId="Style_15" w:type="paragraph">
    <w:name w:val="toc 3"/>
    <w:next w:val="Style_2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heading 5"/>
    <w:next w:val="Style_2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7" w:type="paragraph">
    <w:name w:val="heading 1"/>
    <w:next w:val="Style_2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2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0"/>
    </w:rPr>
  </w:style>
  <w:style w:styleId="Style_21_ch" w:type="character">
    <w:name w:val="Header and Footer"/>
    <w:link w:val="Style_21"/>
    <w:rPr>
      <w:rFonts w:ascii="XO Thames" w:hAnsi="XO Thames"/>
      <w:sz w:val="20"/>
    </w:rPr>
  </w:style>
  <w:style w:styleId="Style_22" w:type="paragraph">
    <w:name w:val="toc 9"/>
    <w:next w:val="Style_2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2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toc 5"/>
    <w:next w:val="Style_2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Указатель1"/>
    <w:basedOn w:val="Style_2"/>
    <w:link w:val="Style_25_ch"/>
  </w:style>
  <w:style w:styleId="Style_25_ch" w:type="character">
    <w:name w:val="Указатель1"/>
    <w:basedOn w:val="Style_2_ch"/>
    <w:link w:val="Style_25"/>
  </w:style>
  <w:style w:styleId="Style_26" w:type="paragraph">
    <w:name w:val="Default Paragraph Font"/>
    <w:link w:val="Style_26_ch"/>
  </w:style>
  <w:style w:styleId="Style_26_ch" w:type="character">
    <w:name w:val="Default Paragraph Font"/>
    <w:link w:val="Style_26"/>
  </w:style>
  <w:style w:styleId="Style_27" w:type="paragraph">
    <w:name w:val="Balloon Text"/>
    <w:basedOn w:val="Style_2"/>
    <w:link w:val="Style_27_ch"/>
    <w:pPr>
      <w:spacing w:after="0" w:before="0" w:line="240" w:lineRule="auto"/>
      <w:ind/>
    </w:pPr>
    <w:rPr>
      <w:rFonts w:ascii="Tahoma" w:hAnsi="Tahoma"/>
      <w:sz w:val="16"/>
    </w:rPr>
  </w:style>
  <w:style w:styleId="Style_27_ch" w:type="character">
    <w:name w:val="Balloon Text"/>
    <w:basedOn w:val="Style_2_ch"/>
    <w:link w:val="Style_27"/>
    <w:rPr>
      <w:rFonts w:ascii="Tahoma" w:hAnsi="Tahoma"/>
      <w:sz w:val="16"/>
    </w:rPr>
  </w:style>
  <w:style w:styleId="Style_9" w:type="paragraph">
    <w:name w:val="Основной шрифт абзаца1"/>
    <w:link w:val="Style_9_ch"/>
  </w:style>
  <w:style w:styleId="Style_9_ch" w:type="character">
    <w:name w:val="Основной шрифт абзаца1"/>
    <w:link w:val="Style_9"/>
  </w:style>
  <w:style w:styleId="Style_28" w:type="paragraph">
    <w:name w:val="Subtitle"/>
    <w:next w:val="Style_2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Title"/>
    <w:next w:val="Style_2"/>
    <w:link w:val="Style_2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sz w:val="40"/>
    </w:rPr>
  </w:style>
  <w:style w:styleId="Style_30" w:type="paragraph">
    <w:name w:val="heading 4"/>
    <w:next w:val="Style_2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31" w:type="paragraph">
    <w:name w:val="heading 2"/>
    <w:next w:val="Style_2"/>
    <w:link w:val="Style_3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1_ch" w:type="character">
    <w:name w:val="heading 2"/>
    <w:link w:val="Style_31"/>
    <w:rPr>
      <w:rFonts w:ascii="XO Thames" w:hAnsi="XO Thames"/>
      <w:b w:val="1"/>
      <w:sz w:val="28"/>
    </w:rPr>
  </w:style>
  <w:style w:styleId="Style_32" w:type="paragraph">
    <w:name w:val="Заголовок"/>
    <w:basedOn w:val="Style_2"/>
    <w:next w:val="Style_13"/>
    <w:link w:val="Style_32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32_ch" w:type="character">
    <w:name w:val="Заголовок"/>
    <w:basedOn w:val="Style_2_ch"/>
    <w:link w:val="Style_32"/>
    <w:rPr>
      <w:rFonts w:ascii="Liberation Sans" w:hAnsi="Liberation Sans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2023-05-18T11:26:14Z</dcterms:modified>
</cp:coreProperties>
</file>