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 решению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№10 от 18.05.2023 г 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внесении изменений в Решение Собрания депутатов « 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2023  год и плановый период 2024</w:t>
            </w:r>
            <w:r>
              <w:rPr>
                <w:sz w:val="28"/>
              </w:rPr>
              <w:t xml:space="preserve"> и 2025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>от 26.12.</w:t>
            </w:r>
            <w:r>
              <w:rPr>
                <w:sz w:val="28"/>
              </w:rPr>
              <w:t>2022 г</w:t>
            </w:r>
            <w:r>
              <w:rPr>
                <w:sz w:val="28"/>
              </w:rPr>
              <w:t>. №</w:t>
            </w:r>
            <w:r>
              <w:rPr>
                <w:sz w:val="28"/>
              </w:rPr>
              <w:t xml:space="preserve"> 24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2023 год и плановый период 2024 и 2025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3437"/>
        <w:gridCol w:w="4969"/>
        <w:gridCol w:w="1555"/>
      </w:tblGrid>
      <w:tr>
        <w:trPr>
          <w:trHeight w:hRule="atLeast" w:val="510"/>
        </w:trPr>
        <w:tc>
          <w:tcPr>
            <w:tcW w:type="dxa" w:w="343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49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0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2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3430"/>
        <w:gridCol w:w="4985"/>
        <w:gridCol w:w="1546"/>
        <w:gridCol w:w="10"/>
      </w:tblGrid>
      <w:tr>
        <w:trPr>
          <w:tblHeader/>
        </w:trPr>
        <w:tc>
          <w:tcPr>
            <w:tcW w:type="dxa" w:w="34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4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3430"/>
            <w:shd w:fill="auto" w:val="clear"/>
          </w:tcPr>
          <w:p w14:paraId="16000000">
            <w:pPr>
              <w:ind/>
              <w:jc w:val="left"/>
            </w:pPr>
            <w:r>
              <w:rPr>
                <w:sz w:val="28"/>
              </w:rPr>
              <w:t>1 17 02020 10 0000 180</w:t>
            </w:r>
          </w:p>
        </w:tc>
        <w:tc>
          <w:tcPr>
            <w:tcW w:type="dxa" w:w="4985"/>
            <w:shd w:fill="auto" w:val="clear"/>
          </w:tcPr>
          <w:p w14:paraId="17000000">
            <w:r>
              <w:rPr>
                <w:color w:val="000000"/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18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30"/>
            <w:shd w:fill="auto" w:val="clear"/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type="dxa" w:w="4985"/>
            <w:shd w:fill="auto" w:val="clear"/>
          </w:tcPr>
          <w:p w14:paraId="1A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Невыясненные поступления, зачисляемые в бюджеты  сельских поселений 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30"/>
            <w:shd w:fill="auto" w:val="clear"/>
          </w:tcPr>
          <w:p w14:paraId="1C000000">
            <w:r>
              <w:rPr>
                <w:sz w:val="28"/>
              </w:rPr>
              <w:t>1 17 0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0 10 0000 180</w:t>
            </w:r>
          </w:p>
        </w:tc>
        <w:tc>
          <w:tcPr>
            <w:tcW w:type="dxa" w:w="4985"/>
            <w:shd w:fill="auto" w:val="clear"/>
          </w:tcPr>
          <w:p w14:paraId="1D000000">
            <w:pPr>
              <w:ind/>
              <w:jc w:val="both"/>
            </w:pPr>
            <w:r>
              <w:rPr>
                <w:color w:val="000000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3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rPr>
                <w:sz w:val="28"/>
              </w:rPr>
            </w:pPr>
            <w:r>
              <w:rPr>
                <w:sz w:val="28"/>
              </w:rPr>
              <w:t>1 17 15030 10 0000 150</w:t>
            </w:r>
          </w:p>
        </w:tc>
        <w:tc>
          <w:tcPr>
            <w:tcW w:type="dxa" w:w="4985"/>
            <w:shd w:fill="auto" w:val="clear"/>
          </w:tcPr>
          <w:p w14:paraId="20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343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rPr>
                <w:sz w:val="28"/>
              </w:rPr>
            </w:pPr>
            <w:r>
              <w:rPr>
                <w:sz w:val="28"/>
              </w:rPr>
              <w:t>1 17 16000 10 0000 180</w:t>
            </w:r>
          </w:p>
        </w:tc>
        <w:tc>
          <w:tcPr>
            <w:tcW w:type="dxa" w:w="4985"/>
            <w:shd w:fill="auto" w:val="clear"/>
          </w:tcPr>
          <w:p w14:paraId="2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неналоговые доходы  бюджетов сельских поселений в части невыясненных  поступлений , по которым не осуществлен возврат не позднее  трех лет со дня  их зачисления  на единый счет бюджета  сельского поселения.</w:t>
            </w:r>
          </w:p>
        </w:tc>
        <w:tc>
          <w:tcPr>
            <w:tcW w:type="dxa" w:w="1546"/>
            <w:shd w:fill="auto" w:val="clear"/>
          </w:tcPr>
          <w:p w14:paraId="24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5000000">
      <w:pPr>
        <w:tabs>
          <w:tab w:leader="none" w:pos="6600" w:val="left"/>
        </w:tabs>
        <w:ind/>
        <w:rPr>
          <w:sz w:val="28"/>
        </w:rPr>
      </w:pPr>
    </w:p>
    <w:p w14:paraId="26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7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                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8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3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4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9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Содержимое таблицы"/>
    <w:basedOn w:val="Style_4"/>
    <w:link w:val="Style_5_ch"/>
  </w:style>
  <w:style w:styleId="Style_5_ch" w:type="character">
    <w:name w:val="Содержимое таблицы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footer"/>
    <w:basedOn w:val="Style_4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4_ch"/>
    <w:link w:val="Style_7"/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4"/>
    <w:next w:val="Style_4"/>
    <w:link w:val="Style_9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9_ch" w:type="character">
    <w:name w:val="heading 7"/>
    <w:basedOn w:val="Style_4_ch"/>
    <w:link w:val="Style_9"/>
    <w:rPr>
      <w:sz w:val="24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Заголовок таблицы"/>
    <w:basedOn w:val="Style_5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5_ch"/>
    <w:link w:val="Style_12"/>
    <w:rPr>
      <w:b w:val="1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3" w:type="paragraph">
    <w:name w:val="header"/>
    <w:basedOn w:val="Style_4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4_ch"/>
    <w:link w:val="Style_13"/>
  </w:style>
  <w:style w:styleId="Style_14" w:type="paragraph">
    <w:name w:val="caption"/>
    <w:basedOn w:val="Style_4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4_ch"/>
    <w:link w:val="Style_14"/>
    <w:rPr>
      <w:i w:val="1"/>
      <w:sz w:val="24"/>
    </w:rPr>
  </w:style>
  <w:style w:styleId="Style_15" w:type="paragraph">
    <w:name w:val="Знак"/>
    <w:basedOn w:val="Style_4"/>
    <w:link w:val="Style_15_ch"/>
    <w:pPr>
      <w:spacing w:after="160" w:before="0" w:line="240" w:lineRule="exact"/>
      <w:ind/>
    </w:pPr>
    <w:rPr>
      <w:b w:val="1"/>
      <w:sz w:val="28"/>
    </w:rPr>
  </w:style>
  <w:style w:styleId="Style_15_ch" w:type="character">
    <w:name w:val="Знак"/>
    <w:basedOn w:val="Style_4_ch"/>
    <w:link w:val="Style_15"/>
    <w:rPr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Заголовок"/>
    <w:basedOn w:val="Style_4"/>
    <w:next w:val="Style_18"/>
    <w:link w:val="Style_1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7_ch" w:type="character">
    <w:name w:val="Заголовок"/>
    <w:basedOn w:val="Style_4_ch"/>
    <w:link w:val="Style_17"/>
    <w:rPr>
      <w:rFonts w:ascii="Liberation Sans" w:hAnsi="Liberation Sans"/>
      <w:sz w:val="28"/>
    </w:rPr>
  </w:style>
  <w:style w:styleId="Style_19" w:type="paragraph">
    <w:name w:val="List"/>
    <w:basedOn w:val="Style_18"/>
    <w:link w:val="Style_19_ch"/>
  </w:style>
  <w:style w:styleId="Style_19_ch" w:type="character">
    <w:name w:val="List"/>
    <w:basedOn w:val="Style_18_ch"/>
    <w:link w:val="Style_19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22" w:type="paragraph">
    <w:name w:val="Указатель1"/>
    <w:basedOn w:val="Style_4"/>
    <w:link w:val="Style_22_ch"/>
  </w:style>
  <w:style w:styleId="Style_22_ch" w:type="character">
    <w:name w:val="Указатель1"/>
    <w:basedOn w:val="Style_4_ch"/>
    <w:link w:val="Style_22"/>
  </w:style>
  <w:style w:styleId="Style_18" w:type="paragraph">
    <w:name w:val="Body Text"/>
    <w:basedOn w:val="Style_4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4_ch"/>
    <w:link w:val="Style_18"/>
  </w:style>
  <w:style w:styleId="Style_23" w:type="paragraph">
    <w:name w:val="heading 1"/>
    <w:basedOn w:val="Style_4"/>
    <w:next w:val="Style_4"/>
    <w:link w:val="Style_23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23_ch" w:type="character">
    <w:name w:val="heading 1"/>
    <w:basedOn w:val="Style_4_ch"/>
    <w:link w:val="Style_23"/>
    <w:rPr>
      <w:rFonts w:ascii="Arial" w:hAnsi="Arial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next w:val="Style_4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4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basedOn w:val="Style_4"/>
    <w:next w:val="Style_4"/>
    <w:link w:val="Style_34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4_ch" w:type="character">
    <w:name w:val="heading 4"/>
    <w:basedOn w:val="Style_4_ch"/>
    <w:link w:val="Style_34"/>
    <w:rPr>
      <w:b w:val="1"/>
      <w:sz w:val="28"/>
    </w:rPr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2023-05-18T11:13:36Z</dcterms:modified>
</cp:coreProperties>
</file>