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8" w:rsidRPr="00C82918" w:rsidRDefault="00C82918" w:rsidP="00C829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C82918" w:rsidRPr="00C82918" w:rsidRDefault="00C82918" w:rsidP="00C829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-693420</wp:posOffset>
            </wp:positionV>
            <wp:extent cx="2971800" cy="2971800"/>
            <wp:effectExtent l="0" t="0" r="0" b="0"/>
            <wp:wrapThrough wrapText="bothSides">
              <wp:wrapPolygon edited="0">
                <wp:start x="0" y="5400"/>
                <wp:lineTo x="0" y="16062"/>
                <wp:lineTo x="21462" y="16062"/>
                <wp:lineTo x="21462" y="5400"/>
                <wp:lineTo x="0" y="5400"/>
              </wp:wrapPolygon>
            </wp:wrapThrough>
            <wp:docPr id="4" name="Рисунок 4" descr="https://lh3.googleusercontent.com/p/AF1QipNwFJOb1RNF5et7GcWpCDWgbBh8XUCq6RUMwqkZ=w600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/AF1QipNwFJOb1RNF5et7GcWpCDWgbBh8XUCq6RUMwqkZ=w600-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918" w:rsidRPr="00C82918" w:rsidRDefault="00C82918" w:rsidP="00C82918">
      <w:pPr>
        <w:tabs>
          <w:tab w:val="left" w:pos="1005"/>
        </w:tabs>
        <w:suppressAutoHyphens/>
        <w:jc w:val="both"/>
        <w:rPr>
          <w:rFonts w:ascii="Times New Roman" w:eastAsia="Calibri" w:hAnsi="Times New Roman" w:cs="Times New Roman"/>
          <w:i/>
          <w:sz w:val="32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jc w:val="both"/>
        <w:rPr>
          <w:rFonts w:ascii="Times New Roman" w:eastAsia="Calibri" w:hAnsi="Times New Roman" w:cs="Times New Roman"/>
          <w:i/>
          <w:sz w:val="32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jc w:val="both"/>
        <w:rPr>
          <w:rFonts w:ascii="Times New Roman" w:eastAsia="Calibri" w:hAnsi="Times New Roman" w:cs="Times New Roman"/>
          <w:i/>
          <w:sz w:val="32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32"/>
          <w:lang w:eastAsia="ar-SA"/>
        </w:rPr>
        <w:tab/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ab/>
        <w:t xml:space="preserve">В 60-е годы XX века по инициативе первых секретарей райкомов партии Азовского, Зерноградского, Кагальницкого и </w:t>
      </w:r>
      <w:proofErr w:type="spell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Неклиновского</w:t>
      </w:r>
      <w:proofErr w:type="spell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районов за счет долевого участия сельскохозяйственных предприятий этих </w:t>
      </w:r>
      <w:proofErr w:type="spell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райнов</w:t>
      </w:r>
      <w:proofErr w:type="spell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создан сельскохозяйственный потребительский кооператив по санаторно-курортному и медицинскому обслуживанию </w:t>
      </w:r>
      <w:hyperlink r:id="rId8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«</w:t>
        </w:r>
        <w:proofErr w:type="spellStart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Донагрокурорт</w:t>
        </w:r>
        <w:proofErr w:type="spellEnd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»</w:t>
        </w:r>
      </w:hyperlink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, </w:t>
      </w: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br/>
        <w:t xml:space="preserve">для </w:t>
      </w:r>
      <w:proofErr w:type="gram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осуществления</w:t>
      </w:r>
      <w:proofErr w:type="gram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деятельности которого построено три санатория: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82918">
        <w:rPr>
          <w:rFonts w:ascii="Times New Roman" w:eastAsia="Calibri" w:hAnsi="Times New Roman" w:cs="Times New Roman"/>
          <w:sz w:val="28"/>
          <w:lang w:eastAsia="ar-SA"/>
        </w:rPr>
        <w:t xml:space="preserve">               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10287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918">
        <w:rPr>
          <w:rFonts w:ascii="Times New Roman" w:eastAsia="Calibri" w:hAnsi="Times New Roman" w:cs="Times New Roman"/>
          <w:sz w:val="28"/>
          <w:lang w:eastAsia="ar-SA"/>
        </w:rPr>
        <w:t xml:space="preserve">                          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83820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918">
        <w:rPr>
          <w:rFonts w:ascii="Times New Roman" w:eastAsia="Calibri" w:hAnsi="Times New Roman" w:cs="Times New Roman"/>
          <w:sz w:val="28"/>
          <w:lang w:eastAsia="ar-SA"/>
        </w:rPr>
        <w:t xml:space="preserve">                         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13906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82918">
        <w:rPr>
          <w:rFonts w:ascii="Times New Roman" w:eastAsia="Calibri" w:hAnsi="Times New Roman" w:cs="Times New Roman"/>
          <w:sz w:val="28"/>
          <w:lang w:eastAsia="ar-SA"/>
        </w:rPr>
        <w:t xml:space="preserve">         </w:t>
      </w:r>
      <w:hyperlink r:id="rId12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Санаторий "Тихий Дон"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lang w:eastAsia="ar-SA"/>
        </w:rPr>
        <w:t xml:space="preserve">              </w:t>
      </w:r>
      <w:hyperlink r:id="rId13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Санаторный комплекс "Дон"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lang w:eastAsia="ar-SA"/>
        </w:rPr>
        <w:t xml:space="preserve">                   </w:t>
      </w:r>
      <w:hyperlink r:id="rId14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Санаторий "Руно"</w:t>
        </w:r>
      </w:hyperlink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ind w:firstLine="993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Сельскохозяйственный кооператив </w:t>
      </w:r>
      <w:hyperlink r:id="rId15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"</w:t>
        </w:r>
        <w:proofErr w:type="spellStart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Донагрокурорт</w:t>
        </w:r>
        <w:proofErr w:type="spellEnd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"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lang w:eastAsia="ar-SA"/>
        </w:rPr>
        <w:t xml:space="preserve"> </w:t>
      </w: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предоставляет </w:t>
      </w:r>
      <w:hyperlink r:id="rId16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ус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л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уги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lang w:eastAsia="ar-SA"/>
        </w:rPr>
        <w:t>:</w:t>
      </w:r>
    </w:p>
    <w:p w:rsidR="00C82918" w:rsidRPr="00C82918" w:rsidRDefault="00C82918" w:rsidP="00C82918">
      <w:pPr>
        <w:numPr>
          <w:ilvl w:val="0"/>
          <w:numId w:val="1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санаторно-курортного лечения, продолжительностью 14-21 день;</w:t>
      </w:r>
    </w:p>
    <w:p w:rsidR="00C82918" w:rsidRPr="00C82918" w:rsidRDefault="00C82918" w:rsidP="00C82918">
      <w:pPr>
        <w:numPr>
          <w:ilvl w:val="0"/>
          <w:numId w:val="1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оздоровительного лечения, продолжительностью 3-13 дней.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ab/>
        <w:t xml:space="preserve">В соответствии с Приказом Минздрава России от 05.05.2016 № 279н </w:t>
      </w: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br/>
        <w:t>"Об утверждении Порядка организации санаторно-курортного лечения" длительность санаторно-курортного лечения составляет от 14 до 21 дня:</w:t>
      </w:r>
    </w:p>
    <w:p w:rsidR="00C82918" w:rsidRPr="00C82918" w:rsidRDefault="00C82918" w:rsidP="00C82918">
      <w:pPr>
        <w:numPr>
          <w:ilvl w:val="0"/>
          <w:numId w:val="2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при покупке путевки от 14 дней объем лечения определяется Базовыми программами лечения в санаториях;</w:t>
      </w:r>
    </w:p>
    <w:p w:rsidR="00C82918" w:rsidRPr="00C82918" w:rsidRDefault="00C82918" w:rsidP="00C82918">
      <w:pPr>
        <w:numPr>
          <w:ilvl w:val="0"/>
          <w:numId w:val="2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при покупке путевки на 3-13 дней объем лечения определяется Оздоровительными программами лечения в санаториях.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ab/>
        <w:t>Отдыхающим, неоднократно посещавшим санатории объединения «</w:t>
      </w:r>
      <w:proofErr w:type="spell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Донагрокурорт</w:t>
      </w:r>
      <w:proofErr w:type="spell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», выдаются карты постоянного клиента и предоставляются скидки в размере:</w:t>
      </w:r>
    </w:p>
    <w:p w:rsidR="00C82918" w:rsidRPr="00C82918" w:rsidRDefault="00C82918" w:rsidP="00C82918">
      <w:pPr>
        <w:numPr>
          <w:ilvl w:val="0"/>
          <w:numId w:val="3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2% (при 4 и 5-м посещении),</w:t>
      </w:r>
    </w:p>
    <w:p w:rsidR="00C82918" w:rsidRPr="00C82918" w:rsidRDefault="00C82918" w:rsidP="00C82918">
      <w:pPr>
        <w:numPr>
          <w:ilvl w:val="0"/>
          <w:numId w:val="3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5% (при 6-10 посещении),</w:t>
      </w:r>
    </w:p>
    <w:p w:rsidR="00C82918" w:rsidRPr="00C82918" w:rsidRDefault="00C82918" w:rsidP="00C82918">
      <w:pPr>
        <w:numPr>
          <w:ilvl w:val="0"/>
          <w:numId w:val="3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10% (11 посещение и более).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B0F0"/>
          <w:sz w:val="24"/>
          <w:u w:val="single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ab/>
      </w:r>
      <w:r w:rsidRPr="00C82918">
        <w:rPr>
          <w:rFonts w:ascii="Times New Roman" w:eastAsia="Calibri" w:hAnsi="Times New Roman" w:cs="Times New Roman"/>
          <w:i/>
          <w:color w:val="00B0F0"/>
          <w:sz w:val="24"/>
          <w:u w:val="single"/>
          <w:lang w:eastAsia="ar-SA"/>
        </w:rPr>
        <w:t xml:space="preserve">В </w:t>
      </w:r>
      <w:hyperlink r:id="rId17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стоимость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u w:val="single"/>
          <w:lang w:eastAsia="ar-SA"/>
        </w:rPr>
        <w:t xml:space="preserve"> санаторно-курортной путевки включено: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проживание в номере выбранной категории;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четырехразовое лечебное питание по системе заказного меню в соответствии с рекомендованной диетой;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приемы врачей, диагностические и лечебные процедуры в соответствии с выбранной программой лечения (базовой, специализированной или оздоровительной);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плавание в открытом бассейне;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пользование тренажерным залом;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proofErr w:type="spell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Wi-fi</w:t>
      </w:r>
      <w:proofErr w:type="spell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в номерах и холлах;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досуговые мероприятия по программе санатория;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настольный теннис, бильярд, пользование спортивными площадками и инвентарем;</w:t>
      </w:r>
    </w:p>
    <w:p w:rsidR="00C82918" w:rsidRPr="00C82918" w:rsidRDefault="00C82918" w:rsidP="00C82918">
      <w:pPr>
        <w:numPr>
          <w:ilvl w:val="0"/>
          <w:numId w:val="4"/>
        </w:num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для </w:t>
      </w:r>
      <w:proofErr w:type="gramStart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>приехавших</w:t>
      </w:r>
      <w:proofErr w:type="gramEnd"/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на автомобиле – место на охраняемой автостоянке.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ab/>
        <w:t xml:space="preserve">Помимо этого, санаторий готовы предоставить Вам перечень дополнительных медицинских услуг, не включенных в выбранную программу лечения. 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lastRenderedPageBreak/>
        <w:tab/>
        <w:t xml:space="preserve">В настоящее время сельскохозяйственный кооператив </w:t>
      </w:r>
      <w:hyperlink r:id="rId18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"</w:t>
        </w:r>
        <w:proofErr w:type="spellStart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Донагрокурорт</w:t>
        </w:r>
        <w:proofErr w:type="spellEnd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u w:val="single"/>
            <w:lang w:eastAsia="ar-SA"/>
          </w:rPr>
          <w:t>"</w:t>
        </w:r>
      </w:hyperlink>
      <w:r w:rsidRPr="00C82918">
        <w:rPr>
          <w:rFonts w:ascii="Times New Roman" w:eastAsia="Calibri" w:hAnsi="Times New Roman" w:cs="Times New Roman"/>
          <w:i/>
          <w:sz w:val="24"/>
          <w:lang w:eastAsia="ar-SA"/>
        </w:rPr>
        <w:t xml:space="preserve"> является единственным в России санаторно-курортным объединением для работников сельского хозяйства, сохранившим коллективную собственность сельхозпредприятий дольщиков.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hyperlink r:id="rId19" w:history="1">
        <w:r w:rsidRPr="00C82918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Режим работы офиса продаж путевок</w:t>
        </w:r>
        <w:r w:rsidRPr="00C8291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r w:rsidRPr="00C82918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сельскохозяйственного кооператива "</w:t>
        </w:r>
        <w:proofErr w:type="spellStart"/>
        <w:r w:rsidRPr="00C82918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Донагрокурорт</w:t>
        </w:r>
        <w:proofErr w:type="spellEnd"/>
        <w:r w:rsidRPr="00C82918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"</w:t>
        </w:r>
      </w:hyperlink>
      <w:r w:rsidRPr="00C82918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: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proofErr w:type="spellStart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Пн-Пт</w:t>
      </w:r>
      <w:proofErr w:type="spellEnd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 с 08-00 до 17-00 без перерыва.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Адрес:344002, Ростов-на-Дону, ул. </w:t>
      </w:r>
      <w:proofErr w:type="gramStart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Донская</w:t>
      </w:r>
      <w:proofErr w:type="gramEnd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, 65/5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Телефон: 8 (863) 299-07-48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val="en-US" w:eastAsia="ar-SA"/>
        </w:rPr>
        <w:t>E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-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val="en-US" w:eastAsia="ar-SA"/>
        </w:rPr>
        <w:t>mail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: </w:t>
      </w:r>
      <w:hyperlink r:id="rId20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putevki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@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donagrok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.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ru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, 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Служба бронирования: 8 (863) 299-07-48, 299-07-49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hyperlink r:id="rId21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ЗАБРОНИРО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В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АТЬ</w:t>
        </w:r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                      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hyperlink r:id="rId22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ЗАКАЗА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Т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Ь ЗВОНОК</w:t>
        </w:r>
      </w:hyperlink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Для уточнения сведений о процедуре приобретения путевок Вы можете обратиться                                              в Администрацию Азовского района: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proofErr w:type="spellStart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Пн-Пт</w:t>
      </w:r>
      <w:proofErr w:type="spellEnd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 с 08-30 до 17-30 (перерыв с 12-00 до 12-45).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Адрес:346780, г. Азов, ул. </w:t>
      </w:r>
      <w:proofErr w:type="gramStart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Московская</w:t>
      </w:r>
      <w:proofErr w:type="gramEnd"/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, 58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Телефон: 8 (86342) 4-17-62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val="en-US" w:eastAsia="ar-SA"/>
        </w:rPr>
        <w:t>E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-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val="en-US" w:eastAsia="ar-SA"/>
        </w:rPr>
        <w:t>mail</w:t>
      </w:r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 xml:space="preserve">: </w:t>
      </w:r>
      <w:hyperlink r:id="rId23" w:history="1"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aar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-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turizm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@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mail</w:t>
        </w:r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eastAsia="ar-SA"/>
          </w:rPr>
          <w:t>.</w:t>
        </w:r>
        <w:proofErr w:type="spellStart"/>
        <w:r w:rsidRPr="00C82918">
          <w:rPr>
            <w:rFonts w:ascii="Times New Roman" w:eastAsia="Calibri" w:hAnsi="Times New Roman" w:cs="Times New Roman"/>
            <w:i/>
            <w:color w:val="00B0F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82918"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  <w:t>,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00B0F0"/>
          <w:sz w:val="24"/>
          <w:szCs w:val="24"/>
          <w:lang w:eastAsia="ar-SA"/>
        </w:rPr>
      </w:pP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8291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Будем рады ответить на Ваши вопросы! </w:t>
      </w:r>
    </w:p>
    <w:p w:rsidR="00C82918" w:rsidRPr="00C82918" w:rsidRDefault="00C82918" w:rsidP="00C82918">
      <w:pPr>
        <w:tabs>
          <w:tab w:val="left" w:pos="100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32"/>
          <w:lang w:eastAsia="ar-SA"/>
        </w:rPr>
      </w:pPr>
    </w:p>
    <w:p w:rsidR="00243DDA" w:rsidRDefault="00243DDA">
      <w:bookmarkStart w:id="0" w:name="_GoBack"/>
      <w:bookmarkEnd w:id="0"/>
    </w:p>
    <w:sectPr w:rsidR="00243DDA" w:rsidSect="00AA2B32">
      <w:footerReference w:type="default" r:id="rId24"/>
      <w:pgSz w:w="11906" w:h="16838"/>
      <w:pgMar w:top="567" w:right="567" w:bottom="57" w:left="567" w:header="720" w:footer="0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E8" w:rsidRDefault="00C82918">
    <w:pPr>
      <w:pStyle w:val="a5"/>
      <w:tabs>
        <w:tab w:val="left" w:pos="1545"/>
      </w:tabs>
      <w:rPr>
        <w:sz w:val="16"/>
        <w:szCs w:val="16"/>
      </w:rPr>
    </w:pPr>
  </w:p>
  <w:p w:rsidR="00C33EE8" w:rsidRDefault="00C8291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2F0C"/>
    <w:multiLevelType w:val="hybridMultilevel"/>
    <w:tmpl w:val="186E8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62E04"/>
    <w:multiLevelType w:val="hybridMultilevel"/>
    <w:tmpl w:val="2A489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6B19"/>
    <w:multiLevelType w:val="hybridMultilevel"/>
    <w:tmpl w:val="F4AE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54D2"/>
    <w:multiLevelType w:val="hybridMultilevel"/>
    <w:tmpl w:val="889E7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4"/>
    <w:rsid w:val="00101545"/>
    <w:rsid w:val="00243DDA"/>
    <w:rsid w:val="0032725F"/>
    <w:rsid w:val="0070417B"/>
    <w:rsid w:val="00AE4F3C"/>
    <w:rsid w:val="00C82918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2918"/>
  </w:style>
  <w:style w:type="paragraph" w:styleId="a5">
    <w:name w:val="No Spacing"/>
    <w:qFormat/>
    <w:rsid w:val="00C8291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8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2918"/>
  </w:style>
  <w:style w:type="paragraph" w:styleId="a5">
    <w:name w:val="No Spacing"/>
    <w:qFormat/>
    <w:rsid w:val="00C8291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8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agrokurort.ru/" TargetMode="External"/><Relationship Id="rId13" Type="http://schemas.openxmlformats.org/officeDocument/2006/relationships/hyperlink" Target="https://donagrokurort.ru/don" TargetMode="External"/><Relationship Id="rId18" Type="http://schemas.openxmlformats.org/officeDocument/2006/relationships/hyperlink" Target="https://donagrokuror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nagrokurort.ru/runo-booking" TargetMode="External"/><Relationship Id="rId7" Type="http://schemas.openxmlformats.org/officeDocument/2006/relationships/image" Target="https://lh3.googleusercontent.com/p/AF1QipNwFJOb1RNF5et7GcWpCDWgbBh8XUCq6RUMwqkZ=w600-k" TargetMode="External"/><Relationship Id="rId12" Type="http://schemas.openxmlformats.org/officeDocument/2006/relationships/hyperlink" Target="https://donagrokurort.ru/tihiy-don" TargetMode="External"/><Relationship Id="rId17" Type="http://schemas.openxmlformats.org/officeDocument/2006/relationships/hyperlink" Target="https://donagrokurort.ru/pric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nagrokurort.ru/service-terms" TargetMode="External"/><Relationship Id="rId20" Type="http://schemas.openxmlformats.org/officeDocument/2006/relationships/hyperlink" Target="mailto:putevki@donagro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nagrokurort.ru/" TargetMode="External"/><Relationship Id="rId23" Type="http://schemas.openxmlformats.org/officeDocument/2006/relationships/hyperlink" Target="mailto:aar-turizm@mail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nagrokurort.ru/contac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nagrokurort.ru/runo" TargetMode="External"/><Relationship Id="rId22" Type="http://schemas.openxmlformats.org/officeDocument/2006/relationships/hyperlink" Target="https://donagrokurort.ru/runo-book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2023-06-21T14:02:00Z</dcterms:created>
  <dcterms:modified xsi:type="dcterms:W3CDTF">2023-06-21T14:03:00Z</dcterms:modified>
</cp:coreProperties>
</file>