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АЗОВСКОГО РАЙОНА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ind/>
        <w:jc w:val="center"/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>09.09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 xml:space="preserve">      № </w:t>
      </w:r>
      <w:r>
        <w:rPr>
          <w:sz w:val="28"/>
        </w:rPr>
        <w:t>116</w:t>
      </w:r>
      <w:r>
        <w:rPr>
          <w:sz w:val="28"/>
        </w:rPr>
        <w:tab/>
      </w:r>
      <w:r>
        <w:rPr>
          <w:sz w:val="28"/>
        </w:rPr>
        <w:t xml:space="preserve">                                      х. Обуховка</w:t>
      </w:r>
    </w:p>
    <w:p w14:paraId="0A000000">
      <w:pPr>
        <w:ind/>
        <w:jc w:val="center"/>
        <w:rPr>
          <w:sz w:val="28"/>
        </w:rPr>
      </w:pPr>
    </w:p>
    <w:p w14:paraId="0B000000">
      <w:pPr>
        <w:ind w:right="3656"/>
        <w:jc w:val="both"/>
        <w:rPr>
          <w:sz w:val="28"/>
        </w:rPr>
      </w:pPr>
      <w:r>
        <w:rPr>
          <w:sz w:val="28"/>
        </w:rPr>
        <w:t xml:space="preserve">Об утверждении положения о Единой комиссии по определению поставщиков (подрядчиков, исполнителей) </w:t>
      </w:r>
      <w:r>
        <w:rPr>
          <w:sz w:val="28"/>
        </w:rPr>
        <w:t>Администрации</w:t>
      </w:r>
      <w:r>
        <w:rPr>
          <w:sz w:val="28"/>
        </w:rPr>
        <w:t xml:space="preserve"> Елизаветинского сельского поселения</w:t>
      </w:r>
    </w:p>
    <w:p w14:paraId="0C000000">
      <w:pPr>
        <w:rPr>
          <w:sz w:val="28"/>
        </w:rPr>
      </w:pPr>
    </w:p>
    <w:p w14:paraId="0D000000">
      <w:pPr>
        <w:pStyle w:val="Style_1"/>
        <w:widowControl w:val="1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связи с вступлением в силу с 01.01.2022 </w:t>
      </w:r>
      <w:r>
        <w:rPr>
          <w:rFonts w:ascii="Times New Roman" w:hAnsi="Times New Roman"/>
          <w:b w:val="0"/>
          <w:sz w:val="28"/>
        </w:rPr>
        <w:t xml:space="preserve">г. изменений в </w:t>
      </w:r>
      <w:r>
        <w:rPr>
          <w:rFonts w:ascii="Times New Roman" w:hAnsi="Times New Roman"/>
          <w:b w:val="0"/>
          <w:sz w:val="28"/>
        </w:rPr>
        <w:t>Федеральный закон от 05.04.2013 №44-ФЗ «О контрактной системе в сфере закупок, товаров, работ, услуг для обеспечения государственных и муниципальных нужд», с целью приведения нормативных</w:t>
      </w:r>
      <w:r>
        <w:rPr>
          <w:rFonts w:ascii="Times New Roman" w:hAnsi="Times New Roman"/>
          <w:b w:val="0"/>
          <w:sz w:val="28"/>
        </w:rPr>
        <w:t xml:space="preserve"> правовых</w:t>
      </w:r>
      <w:r>
        <w:rPr>
          <w:rFonts w:ascii="Times New Roman" w:hAnsi="Times New Roman"/>
          <w:b w:val="0"/>
          <w:sz w:val="28"/>
        </w:rPr>
        <w:t xml:space="preserve"> актов </w:t>
      </w:r>
      <w:r>
        <w:rPr>
          <w:rFonts w:ascii="Times New Roman" w:hAnsi="Times New Roman"/>
          <w:b w:val="0"/>
          <w:sz w:val="28"/>
        </w:rPr>
        <w:t>в соответствие с действующим законодательством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</w:t>
      </w:r>
    </w:p>
    <w:p w14:paraId="0E000000">
      <w:pPr>
        <w:pStyle w:val="Style_1"/>
        <w:widowControl w:val="1"/>
        <w:ind w:firstLine="708" w:left="0"/>
        <w:jc w:val="both"/>
        <w:rPr>
          <w:sz w:val="28"/>
        </w:rPr>
      </w:pPr>
    </w:p>
    <w:p w14:paraId="0F000000">
      <w:pPr>
        <w:ind w:firstLine="709" w:left="0"/>
        <w:jc w:val="center"/>
        <w:rPr>
          <w:sz w:val="28"/>
        </w:rPr>
      </w:pPr>
      <w:r>
        <w:rPr>
          <w:spacing w:val="60"/>
          <w:sz w:val="28"/>
        </w:rPr>
        <w:t>ПОСТАНОВЛЯЕТ: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Утвердить </w:t>
      </w:r>
      <w:r>
        <w:rPr>
          <w:sz w:val="28"/>
        </w:rPr>
        <w:t>Положение</w:t>
      </w:r>
      <w:r>
        <w:rPr>
          <w:sz w:val="28"/>
        </w:rPr>
        <w:t xml:space="preserve"> о Единой комиссии по определению поставщиков (подрядчиков, исполнителей) </w:t>
      </w:r>
      <w:r>
        <w:rPr>
          <w:sz w:val="28"/>
        </w:rPr>
        <w:t>Администрации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согласно </w:t>
      </w:r>
      <w:r>
        <w:rPr>
          <w:sz w:val="28"/>
        </w:rPr>
        <w:t>приложению</w:t>
      </w:r>
      <w:r>
        <w:rPr>
          <w:sz w:val="28"/>
        </w:rPr>
        <w:t xml:space="preserve"> к настоящему постановлению.</w:t>
      </w:r>
    </w:p>
    <w:p w14:paraId="12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2. Настоящее постановление вступает в силу со дня его подписания и подлежит опубликованию на официальном сайте Администрации Елизаветинского сельского поселения.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оставляю за собой.</w:t>
      </w: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8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>В.Н. Тимофеев</w:t>
      </w:r>
    </w:p>
    <w:p w14:paraId="19000000">
      <w:pPr>
        <w:sectPr>
          <w:pgSz w:h="16838" w:orient="portrait" w:w="11906"/>
          <w:pgMar w:bottom="1134" w:footer="709" w:gutter="0" w:header="709" w:left="1276" w:right="707" w:top="1134"/>
        </w:sectPr>
      </w:pPr>
    </w:p>
    <w:p w14:paraId="1A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B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C00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1D000000">
      <w:pPr>
        <w:ind/>
        <w:jc w:val="right"/>
        <w:rPr>
          <w:sz w:val="28"/>
        </w:rPr>
      </w:pPr>
      <w:r>
        <w:rPr>
          <w:sz w:val="28"/>
        </w:rPr>
        <w:t>от 09.09.2022 № 116</w:t>
      </w: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 о Единой комиссии</w:t>
      </w: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определению поставщиков (подрядчиков, исполнителей)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</w:t>
      </w:r>
      <w:r>
        <w:rPr>
          <w:b w:val="1"/>
          <w:sz w:val="28"/>
        </w:rPr>
        <w:t xml:space="preserve"> Елизаветинского сельского поселения</w:t>
      </w:r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Общие положения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1.1. Настоящее Положение о единой комиссии по осуществлению закупок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(далее - Положение) определяет состав, функции и порядок работы единой ком</w:t>
      </w:r>
      <w:r>
        <w:rPr>
          <w:sz w:val="28"/>
        </w:rPr>
        <w:t>иссии по осуществлению закупок 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(далее – единая комиссия, единая комиссия по осуществлению закупок) путем проведения конкурентных способов определения поставщиков (подрядчиков, исполнителей) для нужд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(далее – Администрация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и Заказчик).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1.2. Единая комиссия создается для определения поставщиков (подрядчиков, исполнителей) за исключением  осуществления закупки у единственного поставщика (подрядчика, исполнителя), соблюдения принципов открытости и прозрачности, обеспечения конкуренции, профессионализма заказчика, стимулирования инноваций, единства контрактной системы в сфере закупок, ответственности  за результативность обеспечения государственных нужд, эффективности осуществления закупок путем проведения открытых конкурсов в электронной форме </w:t>
      </w:r>
      <w:r>
        <w:rPr>
          <w:sz w:val="28"/>
        </w:rPr>
        <w:t xml:space="preserve">(далее - электронный конкурс), </w:t>
      </w:r>
      <w:r>
        <w:rPr>
          <w:sz w:val="28"/>
        </w:rPr>
        <w:t xml:space="preserve">открытых аукционов в электронной форме (далее - электронный аукцион), запросов котировок в электронной форме (далее - электронный запрос котировок) для нужд Администрация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1.3. Единая комиссия по осуществлению закупок в своей деятельности руководствуется Гражданским кодексом Российской Федерации, Бюджетным кодексом Российской Федерации, Федеральным законом от 05.05.2013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44-ФЗ),</w:t>
      </w:r>
      <w:r>
        <w:rPr>
          <w:sz w:val="28"/>
        </w:rPr>
        <w:t xml:space="preserve"> Федеральным законом от 25.12.2008 № 273-ФЗ «О противодействии коррупции»,</w:t>
      </w:r>
      <w:r>
        <w:rPr>
          <w:sz w:val="28"/>
        </w:rPr>
        <w:t xml:space="preserve"> иными нормативными правовыми актами Российской Федерации, а также настоящим Положением.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2. Порядок формирования единой комиссии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2.1. Состав единой комиссии утверждается постановлением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 Из числа членов комиссии постановлением назначается председатель комиссии, заместитель председателя комиссии, секретарь комиссии. Общее число членов единой комиссии должно быть не менее чем три человека.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2.2. Единая комиссия по осуществлению закупок формируется преимущественно из числа специалистов, прошедших профессиональную переподготовку или повышение квалификации в сфере закупок.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2.3. Членами комиссии не могут быть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</w:t>
      </w:r>
      <w:r>
        <w:rPr>
          <w:sz w:val="28"/>
        </w:rPr>
        <w:t>№ 273-ФЗ «О противодействии коррупции»,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>4) должностные лица органов контроля, указанных в части 1 статьи 99 Федерального закона</w:t>
      </w:r>
      <w:r>
        <w:rPr>
          <w:sz w:val="28"/>
        </w:rPr>
        <w:t xml:space="preserve"> 44-ФЗ</w:t>
      </w:r>
      <w:r>
        <w:rPr>
          <w:sz w:val="28"/>
        </w:rPr>
        <w:t>, непосредственно осуществляющие контроль в сфере закупок.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2.4. Замена члена единой комиссии осуществляется только на основании постановления администрация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2.5. На заседания единой комиссии могут приглашаться в качестве специалистов (консультантов) сотрудники структурных подразделений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поселения, не являющиеся членами единой комиссии, без предоставления им права голоса.</w:t>
      </w:r>
    </w:p>
    <w:p w14:paraId="31000000">
      <w:pPr>
        <w:ind/>
        <w:jc w:val="both"/>
        <w:rPr>
          <w:sz w:val="28"/>
        </w:rPr>
      </w:pPr>
    </w:p>
    <w:p w14:paraId="32000000">
      <w:pPr>
        <w:ind/>
        <w:jc w:val="center"/>
        <w:rPr>
          <w:sz w:val="28"/>
        </w:rPr>
      </w:pPr>
      <w:r>
        <w:rPr>
          <w:sz w:val="28"/>
        </w:rPr>
        <w:t>3. Функции единой комиссии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3.1.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(по поручению председателя – секретарем комиссии)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>Основными функциями единой комиссии являются: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3.1.1.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</w:t>
      </w:r>
      <w:r>
        <w:rPr>
          <w:sz w:val="28"/>
        </w:rPr>
        <w:t>соответствующими извещению об осуществлении закупки или об отклонении заявок на участие;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3.1.2. Осуществление оценки первых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критериям, предусмотренным законодательством о закупках; 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3.1.3.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3.1.4.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соответствующими требованиям извещения об осуществлении закупки или о</w:t>
      </w:r>
      <w:r>
        <w:rPr>
          <w:sz w:val="28"/>
        </w:rPr>
        <w:t>б отклонении заявок на участие;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3.1.5. Оценка вторых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критерию, предусмотренному законодательством о закупках;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>подписание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3.1.6. Осуществление оценки ценовых предложений по критерию, предусмотренному законодательством о закупках;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3.1.7. На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3.1.8.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конкурса;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3.1.9.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3.1.10. Присвоение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3.1.11. Подписание усиленными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3.1.12. Рассмотрение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3.1.13. 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 присвоение первого номера заявке на участие в электронном запросе котировок победителю электронного запроса котировок;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3.1.14.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3.1.15.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3.1.16. Другие функции, определенные законодательством Р</w:t>
      </w:r>
      <w:r>
        <w:rPr>
          <w:sz w:val="28"/>
        </w:rPr>
        <w:t>Ф;</w:t>
      </w:r>
    </w:p>
    <w:p w14:paraId="46000000">
      <w:pPr>
        <w:ind/>
        <w:jc w:val="both"/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>4. Полномочия единой комиссии, ее отдельных членов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4.1. Единая комиссия обязана: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>4.1.1. Комиссия по осуществлению закупок проверяет соответствие участников закупок единым требованиям, установленным законодательством о закупках, требованию об отсутствии в предусмотренном Федеральным законом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>4.1.2.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>4.1.3.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>4.1.4.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исполнителя),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>4.1.5. Осуществлять оценку ценовых предложений по критерию, предусмотренному законодательством о закупках, извещению об осуществлении закупки;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>4.2. Единая комиссия вправе: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4.2.1. 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Федеральным законом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4.2.2. Проверять соответствие участников закупок требованиям, указанным в пунктах 3-5, 7,</w:t>
      </w:r>
      <w:r>
        <w:rPr>
          <w:sz w:val="28"/>
        </w:rPr>
        <w:t xml:space="preserve"> 7.1,</w:t>
      </w:r>
      <w:r>
        <w:rPr>
          <w:sz w:val="28"/>
        </w:rPr>
        <w:t xml:space="preserve"> 8, 9, 11 части 1 статьи 31 Федерального закона 44-ФЗ, а также при проведении электронных процедур требованию, указанному в пункте 10 части 1 статьи 31 Федерального закона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2_1 статьи 31 Федерального закона 44-ФЗ;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4.2.3. Запрашивать и получать в установленном порядке от структурных подразделений Заказчика информацию, необходимую для работы единой комиссии;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>4.3. Единая комиссия имеет также иные права и несет иные обязанности, установленные законодательством Российской Федерации.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>4.4. Члены единой комиссии обязаны: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>4.4.1. 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 настоящим Положением;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>4.4.2. Лично присутствовать на заседаниях единой комиссии;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 xml:space="preserve">4.4.3. Рассматривать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</w:t>
      </w:r>
      <w:r>
        <w:rPr>
          <w:sz w:val="28"/>
        </w:rPr>
        <w:t>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Федерального закона 44-ФЗ оценивать ценовые предложения, присваивать первые номера заявкам 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>4.4.4. П</w:t>
      </w:r>
      <w:r>
        <w:rPr>
          <w:sz w:val="28"/>
        </w:rPr>
        <w:t>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>4.5. Члены единой комиссии вправе: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>4.5.1.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14:paraId="5A000000">
      <w:pPr>
        <w:ind/>
        <w:jc w:val="both"/>
        <w:rPr>
          <w:sz w:val="28"/>
        </w:rPr>
      </w:pPr>
      <w:r>
        <w:rPr>
          <w:sz w:val="28"/>
        </w:rPr>
        <w:t>4.5.2. Выступать по вопросам повестки дня на заседаниях единой комиссии;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4.5.3. 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4.6. Председатель единой комиссии (а в его отсутствие - заместитель председателя комиссии):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>4.6.1. Осуществляет общее руководство работой единой комиссии и обеспечивает выполнение настоящего Положения;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>4.6.2. Открывает и ведет заседания единой комиссии, объявляет перерывы;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>4.6.3. Объявляет состав единой комиссии;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>4.6.4. Определяет порядок рассмотрения обсуждаемых вопросов;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4.6.5.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>4.6.7. Несет персональную ответственность за выполнение задач, возложенных на единую комиссию по размещению заказов и осуществление ее функций;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>4.6.8. Осуществляет иные действия в соответствии с законодательством Российской Федерации и настоящим Положением.</w:t>
      </w:r>
    </w:p>
    <w:p w14:paraId="64000000">
      <w:pPr>
        <w:ind/>
        <w:jc w:val="both"/>
        <w:rPr>
          <w:sz w:val="28"/>
        </w:rPr>
      </w:pPr>
      <w:r>
        <w:rPr>
          <w:sz w:val="28"/>
        </w:rPr>
        <w:t>4.7. Члены единой комиссии: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>4.7.1. Присутствуют на заседаниях единой комиссии и принимают решения по вопросам, отнесенных к компетенции единой комиссии;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>4.7.2. 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  победителям соответствующего конкурентного способа определения поставщиков (подрядчиков, исполнителей) в соответствии с требованиями Федерального закона 44-ФЗ;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 xml:space="preserve"> 4.7.3. Подписывают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>4.7.4. Выполняют в установленные сроки поручения председателя единой комиссии;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>4.7.5. По поручению председателя (заместителя председателя) единой комиссии осуществляют юридическое сопровождение процедур размещения заказа, в том числе экспертный анализ проектов государственных контрактов;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>4.7.6. По поручению председателя (заместителя председателя) единой комиссии осуществляют экономическое сопровождение процедур размещения заказа, в том числе экспертный анализ заявок на участие в электронном конкурсе, электронном аукционе, в проведении электронного запроса котировок; передают информацию о закупке в контрактную службу для включения в Реестр заключенных государственных контрактов;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>4.7.7. Осуществляют иные действия в соответствии с законодательством Российской Федерации и настоящим Положением.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>4.8. Секретарь единой комиссии: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>4.8.1.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по поручению председателя извещает лиц, принимающих участие в работе единой комиссии, о времени и месте проведения заседаний единой комиссии;</w:t>
      </w:r>
    </w:p>
    <w:p w14:paraId="6E000000">
      <w:pPr>
        <w:ind/>
        <w:jc w:val="both"/>
        <w:rPr>
          <w:sz w:val="28"/>
        </w:rPr>
      </w:pPr>
      <w:r>
        <w:rPr>
          <w:sz w:val="28"/>
        </w:rPr>
        <w:t>4.8.2. По поручению председателя (заместителя председателя) единой комиссии осуществляет документальное оформление осущ</w:t>
      </w:r>
      <w:r>
        <w:rPr>
          <w:sz w:val="28"/>
        </w:rPr>
        <w:t xml:space="preserve">ествления закупки, в том числе размещение </w:t>
      </w:r>
      <w:r>
        <w:rPr>
          <w:sz w:val="28"/>
        </w:rPr>
        <w:t>установленных материалов в единой информационной системе.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>4.8.3.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>5. Порядок работы единой комиссии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>5.1. Работа единой комиссии осуществляется на ее заседаниях.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>5.2. Материалы к заседанию единой комиссии готовит секретарь комиссии.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5.3. Единая комиссия правомочна осуществлять свои функции, если на ее заседании присутствует не менее чем пятьдесят процентов от общего числа ее членов. Члены единой комиссии принимают участие в заседаниях комиссии лично, без права замены.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5.4. Заседания единой комиссии открываются и закрываются Председателем единой комиссии (заместителем председателя), в случае их отсутствия – секретарем комиссии.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>5.5. Решения единой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5.6. Решения единой комиссии по осуществлению закупок при проведении электронного конкурса оформляются в виде:</w:t>
      </w:r>
    </w:p>
    <w:p w14:paraId="77000000">
      <w:pPr>
        <w:ind/>
        <w:jc w:val="both"/>
        <w:rPr>
          <w:sz w:val="28"/>
        </w:rPr>
      </w:pPr>
      <w:r>
        <w:rPr>
          <w:sz w:val="28"/>
        </w:rPr>
        <w:t>5.6.1. Протокола рассмотрения и оценки первых частей заявок на участие в электронном конкурсе;</w:t>
      </w:r>
    </w:p>
    <w:p w14:paraId="78000000">
      <w:pPr>
        <w:ind/>
        <w:jc w:val="both"/>
        <w:rPr>
          <w:sz w:val="28"/>
        </w:rPr>
      </w:pPr>
      <w:r>
        <w:rPr>
          <w:sz w:val="28"/>
        </w:rPr>
        <w:t>5.6.2. Протокола рассмотрения и оценки вторых частей заявок на участие в электронном конкурсе;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>5.6.3. Протокола подведения итогов электронного конкурса.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5.7. Решения единой комиссии при проведении электронного аукциона оформляются в виде: протокола подведения итогов электронного аукциона.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5.8. Решения единой комиссии при проведении запроса котировок оформляются в виде протокола подведения итогов электронного запроса котировок.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 xml:space="preserve">5.9. Формирование протоколов осуществляет уполномоченный сотрудник контрактной службы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 Протоколы подписываются усиленными электронными подписями всеми присутствовавшими на заседании членами единой комиссии.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 xml:space="preserve">5.10. Материально-техническое обеспечение деятельности единой комиссии, в том числе предоставление помещения, средств аудиозаписи, оргтехники, канцелярии и материального обеспечения осуществляется администрацией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7E000000">
      <w:pPr>
        <w:ind/>
        <w:jc w:val="both"/>
        <w:rPr>
          <w:sz w:val="28"/>
        </w:rPr>
      </w:pPr>
      <w:r>
        <w:rPr>
          <w:sz w:val="28"/>
        </w:rPr>
        <w:t xml:space="preserve"> 6. Ответственность членов единой комиссии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>6.1. Любые действия (бездействия) единой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закупки. В случае такого обжалования единая комиссия обязана: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6.1.1. Предоставить по запросу контрольного органа в сфере закупок документацию о закупке, заявки на участие в определени</w:t>
      </w:r>
      <w:r>
        <w:rPr>
          <w:sz w:val="28"/>
        </w:rPr>
        <w:t xml:space="preserve">и поставщика, протоколы, и иную </w:t>
      </w:r>
      <w:r>
        <w:rPr>
          <w:sz w:val="28"/>
        </w:rPr>
        <w:t>информацию</w:t>
      </w:r>
      <w:r>
        <w:rPr>
          <w:sz w:val="28"/>
        </w:rPr>
        <w:t>,</w:t>
      </w:r>
      <w:r>
        <w:rPr>
          <w:sz w:val="28"/>
        </w:rPr>
        <w:t xml:space="preserve"> и документы, составленные в ходе определения поставщика;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>6.1.2. Приостановить определение поставщика и заключение контракта до рассмотрения жалобы по существу, в случае получения соответствующего требования о приостановлении процедуры определения поставщика и заключения контракта от уполномоченного органа;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6.1.3. Выполнить решение, принятое федеральным органом исполнительной власти, уполномоченным на осуществление контроля в сфере закупок.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6.2.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>6.3. Член единой комиссии, допустивши</w:t>
      </w:r>
      <w:bookmarkStart w:id="1" w:name="_GoBack"/>
      <w:bookmarkEnd w:id="1"/>
      <w:r>
        <w:rPr>
          <w:sz w:val="28"/>
        </w:rPr>
        <w:t xml:space="preserve">й нарушение законодательства Российской Федерации и иных нормативных правовых актов о контрактной системе в сфере закупок, может быть заменен постановлением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</w:t>
      </w:r>
    </w:p>
    <w:p w14:paraId="85000000">
      <w:pPr>
        <w:ind/>
        <w:jc w:val="both"/>
        <w:rPr>
          <w:sz w:val="28"/>
        </w:rPr>
      </w:pPr>
      <w:r>
        <w:rPr>
          <w:sz w:val="28"/>
        </w:rPr>
        <w:t>6.4. 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Положения, он должен письменно сообщить об этом председателю единой комиссии и (или) Заказчику в течение одного рабочего дня со дня, когда он узнал о таком нарушении.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>6.5. Члены единой комиссии и приглашенные на заседания единой комиссии в качестве специалистов (консультантов) сотрудники Заказчика, не являющиеся членами единой комиссии, а также иные эксперты 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p w14:paraId="87000000">
      <w:pPr>
        <w:ind/>
        <w:jc w:val="both"/>
        <w:rPr>
          <w:sz w:val="28"/>
        </w:rPr>
      </w:pPr>
    </w:p>
    <w:p w14:paraId="88000000">
      <w:pPr>
        <w:ind/>
        <w:jc w:val="both"/>
        <w:rPr>
          <w:sz w:val="28"/>
        </w:rPr>
      </w:pPr>
    </w:p>
    <w:p w14:paraId="89000000">
      <w:pPr>
        <w:ind/>
        <w:jc w:val="both"/>
        <w:rPr>
          <w:sz w:val="28"/>
        </w:rPr>
      </w:pPr>
    </w:p>
    <w:p w14:paraId="8A000000">
      <w:pPr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8B000000">
      <w:pPr>
        <w:ind/>
        <w:jc w:val="both"/>
        <w:rPr>
          <w:sz w:val="28"/>
        </w:rPr>
      </w:pPr>
      <w:r>
        <w:rPr>
          <w:sz w:val="28"/>
        </w:rPr>
        <w:t>Елизаветинского сельского поселения                                         В.Н. Тимофеев</w:t>
      </w:r>
    </w:p>
    <w:p w14:paraId="8C000000">
      <w:pPr>
        <w:ind/>
        <w:jc w:val="center"/>
        <w:rPr>
          <w:sz w:val="28"/>
        </w:rPr>
      </w:pPr>
    </w:p>
    <w:sectPr>
      <w:pgSz w:h="16838" w:orient="portrait" w:w="11906"/>
      <w:pgMar w:bottom="1134" w:footer="709" w:gutter="0" w:header="709" w:left="1276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No Spacing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ConsPlusCell"/>
    <w:link w:val="Style_11"/>
    <w:rPr>
      <w:rFonts w:ascii="Calibri" w:hAnsi="Calibri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2"/>
    <w:link w:val="Style_18_ch"/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link w:val="Style_2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23_ch" w:type="character">
    <w:name w:val="Subtitle"/>
    <w:basedOn w:val="Style_2_ch"/>
    <w:link w:val="Style_23"/>
    <w:rPr>
      <w:b w:val="1"/>
      <w:sz w:val="2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basedOn w:val="Style_2"/>
    <w:link w:val="Style_25_ch"/>
    <w:uiPriority w:val="10"/>
    <w:qFormat/>
    <w:pPr>
      <w:ind/>
      <w:jc w:val="center"/>
    </w:pPr>
    <w:rPr>
      <w:sz w:val="28"/>
    </w:rPr>
  </w:style>
  <w:style w:styleId="Style_25_ch" w:type="character">
    <w:name w:val="Title"/>
    <w:basedOn w:val="Style_2_ch"/>
    <w:link w:val="Style_25"/>
    <w:rPr>
      <w:sz w:val="28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2022-09-16T08:13:24Z</dcterms:modified>
</cp:coreProperties>
</file>